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C6" w:rsidRPr="00F9455F" w:rsidRDefault="00711931" w:rsidP="00BF1BC6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F9455F">
        <w:rPr>
          <w:rFonts w:ascii="Arial" w:hAnsi="Arial" w:cs="Arial"/>
          <w:b/>
          <w:lang w:val="fr-CA"/>
        </w:rPr>
        <w:t xml:space="preserve">COUR DU </w:t>
      </w:r>
      <w:r w:rsidRPr="00AC7688">
        <w:rPr>
          <w:rFonts w:ascii="Arial" w:hAnsi="Arial" w:cs="Arial"/>
          <w:b/>
          <w:lang w:val="fr-CA"/>
        </w:rPr>
        <w:t xml:space="preserve">BANC </w:t>
      </w:r>
      <w:r w:rsidR="005A5F08" w:rsidRPr="00AC7688">
        <w:rPr>
          <w:rFonts w:ascii="Arial" w:hAnsi="Arial" w:cs="Arial"/>
          <w:b/>
          <w:lang w:val="fr-CA"/>
        </w:rPr>
        <w:t>DU ROI</w:t>
      </w:r>
    </w:p>
    <w:p w:rsidR="00BF1BC6" w:rsidRPr="004D4B0B" w:rsidRDefault="00BF1BC6" w:rsidP="00BF1BC6">
      <w:pPr>
        <w:tabs>
          <w:tab w:val="left" w:pos="7020"/>
        </w:tabs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BF1BC6" w:rsidRPr="00F9455F" w:rsidRDefault="00711931" w:rsidP="00BF1BC6">
      <w:pPr>
        <w:tabs>
          <w:tab w:val="center" w:pos="4860"/>
          <w:tab w:val="left" w:pos="7020"/>
        </w:tabs>
        <w:jc w:val="center"/>
        <w:rPr>
          <w:rFonts w:ascii="Arial" w:hAnsi="Arial" w:cs="Arial"/>
          <w:lang w:val="fr-CA"/>
        </w:rPr>
      </w:pPr>
      <w:r w:rsidRPr="00F9455F">
        <w:rPr>
          <w:rFonts w:ascii="Arial" w:hAnsi="Arial" w:cs="Arial"/>
          <w:b/>
          <w:lang w:val="fr-CA"/>
        </w:rPr>
        <w:t xml:space="preserve">Centre de </w:t>
      </w:r>
      <w:r w:rsidR="00BF1BC6" w:rsidRPr="00F9455F">
        <w:rPr>
          <w:rFonts w:ascii="Arial" w:hAnsi="Arial" w:cs="Arial"/>
          <w:b/>
          <w:lang w:val="fr-CA"/>
        </w:rPr>
        <w:t>__________________ </w:t>
      </w:r>
    </w:p>
    <w:p w:rsidR="00367B39" w:rsidRPr="00F9455F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F9455F" w:rsidRDefault="00711931" w:rsidP="00367B3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 xml:space="preserve">ENTRE </w:t>
      </w:r>
      <w:r w:rsidR="00367B39" w:rsidRPr="00F9455F">
        <w:rPr>
          <w:rFonts w:ascii="Arial" w:hAnsi="Arial" w:cs="Arial"/>
          <w:sz w:val="22"/>
          <w:szCs w:val="22"/>
          <w:lang w:val="fr-CA"/>
        </w:rPr>
        <w:t>:</w:t>
      </w:r>
    </w:p>
    <w:p w:rsidR="00367B39" w:rsidRPr="004D4B0B" w:rsidRDefault="00367B39" w:rsidP="00367B39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367B39" w:rsidRPr="00F9455F" w:rsidRDefault="00711931" w:rsidP="004D59A7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>demandeur</w:t>
      </w:r>
    </w:p>
    <w:p w:rsidR="00367B39" w:rsidRPr="004D4B0B" w:rsidRDefault="00367B39" w:rsidP="00367B39">
      <w:pPr>
        <w:tabs>
          <w:tab w:val="left" w:pos="73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AA2A1D" w:rsidRPr="00F9455F" w:rsidRDefault="00AA2A1D" w:rsidP="00AA2A1D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F9455F">
        <w:rPr>
          <w:rFonts w:ascii="Arial" w:hAnsi="Arial" w:cs="Arial"/>
          <w:sz w:val="22"/>
          <w:szCs w:val="22"/>
          <w:lang w:val="fr-CA"/>
        </w:rPr>
        <w:t xml:space="preserve"> </w:t>
      </w:r>
      <w:r w:rsidR="00711931" w:rsidRPr="00F9455F">
        <w:rPr>
          <w:rFonts w:ascii="Arial" w:hAnsi="Arial" w:cs="Arial"/>
          <w:sz w:val="22"/>
          <w:szCs w:val="22"/>
          <w:lang w:val="fr-CA"/>
        </w:rPr>
        <w:t>et</w:t>
      </w:r>
      <w:r w:rsidRPr="00F9455F">
        <w:rPr>
          <w:rFonts w:ascii="Arial" w:hAnsi="Arial" w:cs="Arial"/>
          <w:sz w:val="22"/>
          <w:szCs w:val="22"/>
          <w:lang w:val="fr-CA"/>
        </w:rPr>
        <w:t xml:space="preserve"> </w:t>
      </w:r>
      <w:r w:rsidRPr="00F9455F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367B39" w:rsidRPr="004D4B0B" w:rsidRDefault="00367B39" w:rsidP="00367B39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367B39" w:rsidRPr="00F9455F" w:rsidRDefault="00711931" w:rsidP="004D59A7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>défendeur</w:t>
      </w:r>
    </w:p>
    <w:p w:rsidR="00367B39" w:rsidRPr="004D4B0B" w:rsidRDefault="00367B39" w:rsidP="00367B39">
      <w:pPr>
        <w:tabs>
          <w:tab w:val="left" w:pos="73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EC0DF1" w:rsidRPr="004D4B0B" w:rsidRDefault="00EC0DF1">
      <w:pPr>
        <w:tabs>
          <w:tab w:val="left" w:pos="73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822961" w:rsidRPr="00F9455F" w:rsidRDefault="00711931" w:rsidP="00390FDF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F9455F">
        <w:rPr>
          <w:rFonts w:ascii="Arial" w:hAnsi="Arial" w:cs="Arial"/>
          <w:b/>
          <w:sz w:val="22"/>
          <w:szCs w:val="22"/>
          <w:lang w:val="fr-CA"/>
        </w:rPr>
        <w:t>REQUÊTE EN ANNULATION DE LA DÉ</w:t>
      </w:r>
      <w:r w:rsidR="009814E5" w:rsidRPr="00F9455F">
        <w:rPr>
          <w:rFonts w:ascii="Arial" w:hAnsi="Arial" w:cs="Arial"/>
          <w:b/>
          <w:sz w:val="22"/>
          <w:szCs w:val="22"/>
          <w:lang w:val="fr-CA"/>
        </w:rPr>
        <w:t>CISION</w:t>
      </w:r>
    </w:p>
    <w:p w:rsidR="00822961" w:rsidRPr="004D4B0B" w:rsidRDefault="00822961" w:rsidP="00BF1BC6">
      <w:pPr>
        <w:rPr>
          <w:rFonts w:ascii="Arial" w:hAnsi="Arial" w:cs="Arial"/>
          <w:sz w:val="22"/>
          <w:szCs w:val="22"/>
          <w:lang w:val="fr-CA"/>
        </w:rPr>
      </w:pPr>
    </w:p>
    <w:p w:rsidR="00EC0DF1" w:rsidRPr="004D4B0B" w:rsidRDefault="00EC0DF1" w:rsidP="00BF1BC6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107654" w:rsidRPr="00F9455F" w:rsidRDefault="00487049" w:rsidP="00F9455F">
      <w:pPr>
        <w:tabs>
          <w:tab w:val="right" w:pos="1267"/>
          <w:tab w:val="left" w:pos="9072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>SACHEZ que la partie soussignée,</w:t>
      </w:r>
      <w:r w:rsidR="00E364E4" w:rsidRPr="00F9455F">
        <w:rPr>
          <w:rFonts w:ascii="Arial" w:hAnsi="Arial" w:cs="Arial"/>
          <w:sz w:val="22"/>
          <w:szCs w:val="22"/>
          <w:lang w:val="fr-CA"/>
        </w:rPr>
        <w:t> </w:t>
      </w:r>
      <w:r w:rsidR="00BF1BC6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D59A7" w:rsidRPr="00F9455F">
        <w:rPr>
          <w:rFonts w:ascii="Arial" w:hAnsi="Arial" w:cs="Arial"/>
          <w:sz w:val="22"/>
          <w:szCs w:val="22"/>
          <w:lang w:val="fr-CA"/>
        </w:rPr>
        <w:t>,</w:t>
      </w:r>
      <w:r w:rsidR="00B842CA" w:rsidRPr="00F9455F">
        <w:rPr>
          <w:rFonts w:ascii="Arial" w:hAnsi="Arial" w:cs="Arial"/>
          <w:sz w:val="22"/>
          <w:szCs w:val="22"/>
          <w:lang w:val="fr-CA"/>
        </w:rPr>
        <w:t xml:space="preserve"> </w:t>
      </w:r>
      <w:r w:rsidR="00CC757C" w:rsidRPr="00F9455F">
        <w:rPr>
          <w:rFonts w:ascii="Arial" w:hAnsi="Arial" w:cs="Arial"/>
          <w:sz w:val="22"/>
          <w:szCs w:val="22"/>
          <w:lang w:val="fr-CA"/>
        </w:rPr>
        <w:t>soumet</w:t>
      </w:r>
    </w:p>
    <w:p w:rsidR="004D59A7" w:rsidRPr="00F9455F" w:rsidRDefault="004D59A7" w:rsidP="0076551D">
      <w:pPr>
        <w:tabs>
          <w:tab w:val="right" w:pos="1267"/>
          <w:tab w:val="left" w:pos="4253"/>
          <w:tab w:val="left" w:pos="6096"/>
          <w:tab w:val="left" w:pos="837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ab/>
      </w:r>
      <w:r w:rsidR="00107654" w:rsidRPr="00F9455F">
        <w:rPr>
          <w:rFonts w:ascii="Arial" w:hAnsi="Arial" w:cs="Arial"/>
          <w:sz w:val="22"/>
          <w:szCs w:val="22"/>
          <w:lang w:val="fr-CA"/>
        </w:rPr>
        <w:tab/>
      </w:r>
      <w:r w:rsidR="00107654" w:rsidRPr="00F9455F"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i/>
          <w:sz w:val="16"/>
          <w:szCs w:val="16"/>
          <w:lang w:val="fr-CA"/>
        </w:rPr>
        <w:t>(n</w:t>
      </w:r>
      <w:r w:rsidR="00487049" w:rsidRPr="00F9455F">
        <w:rPr>
          <w:rFonts w:ascii="Arial" w:hAnsi="Arial" w:cs="Arial"/>
          <w:i/>
          <w:sz w:val="16"/>
          <w:szCs w:val="16"/>
          <w:lang w:val="fr-CA"/>
        </w:rPr>
        <w:t>om</w:t>
      </w:r>
      <w:r w:rsidRPr="00F9455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07654" w:rsidRPr="00F9455F" w:rsidRDefault="00F9455F" w:rsidP="00F9455F">
      <w:pPr>
        <w:tabs>
          <w:tab w:val="right" w:pos="1267"/>
          <w:tab w:val="left" w:pos="981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 xml:space="preserve">par la </w:t>
      </w:r>
      <w:r w:rsidR="00107654" w:rsidRPr="00F9455F">
        <w:rPr>
          <w:rFonts w:ascii="Arial" w:hAnsi="Arial" w:cs="Arial"/>
          <w:sz w:val="22"/>
          <w:szCs w:val="22"/>
          <w:lang w:val="fr-CA"/>
        </w:rPr>
        <w:t>présente une requête en annulation de la décision du juge ou de l’aux</w:t>
      </w:r>
      <w:r w:rsidRPr="00F9455F">
        <w:rPr>
          <w:rFonts w:ascii="Arial" w:hAnsi="Arial" w:cs="Arial"/>
          <w:sz w:val="22"/>
          <w:szCs w:val="22"/>
          <w:lang w:val="fr-CA"/>
        </w:rPr>
        <w:t>iliaire de la justice rendue</w:t>
      </w:r>
    </w:p>
    <w:p w:rsidR="00BD3688" w:rsidRPr="00F9455F" w:rsidRDefault="00F9455F" w:rsidP="008E5356">
      <w:pPr>
        <w:tabs>
          <w:tab w:val="left" w:pos="4820"/>
          <w:tab w:val="left" w:pos="981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>le </w:t>
      </w:r>
      <w:r w:rsidR="004D59A7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07654" w:rsidRPr="00F9455F">
        <w:rPr>
          <w:rFonts w:ascii="Arial" w:hAnsi="Arial" w:cs="Arial"/>
          <w:sz w:val="22"/>
          <w:szCs w:val="22"/>
          <w:lang w:val="fr-CA"/>
        </w:rPr>
        <w:t xml:space="preserve"> pour les motifs suivants :</w:t>
      </w:r>
    </w:p>
    <w:p w:rsidR="00BD3688" w:rsidRPr="00F9455F" w:rsidRDefault="00BD3688" w:rsidP="008E5356">
      <w:pPr>
        <w:tabs>
          <w:tab w:val="left" w:pos="1843"/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i/>
          <w:sz w:val="16"/>
          <w:szCs w:val="16"/>
          <w:lang w:val="fr-CA"/>
        </w:rPr>
        <w:t>(</w:t>
      </w:r>
      <w:r w:rsidR="00487049" w:rsidRPr="00F9455F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F9455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D4B0B" w:rsidRPr="005A5F08" w:rsidRDefault="004D4B0B" w:rsidP="004D4B0B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14"/>
          <w:szCs w:val="14"/>
          <w:lang w:val="fr-CA"/>
        </w:rPr>
      </w:pPr>
    </w:p>
    <w:p w:rsidR="004D4B0B" w:rsidRPr="005A5F08" w:rsidRDefault="004D4B0B" w:rsidP="004D4B0B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A5F08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:rsidR="004D4B0B" w:rsidRPr="005A5F08" w:rsidRDefault="004D4B0B" w:rsidP="004D4B0B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D4B0B" w:rsidRPr="005A5F08" w:rsidRDefault="004D4B0B" w:rsidP="004D4B0B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A5F08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:rsidR="004906DF" w:rsidRPr="004D4B0B" w:rsidRDefault="004906DF" w:rsidP="004906DF">
      <w:pPr>
        <w:tabs>
          <w:tab w:val="left" w:pos="1267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4906DF" w:rsidRPr="004D4B0B" w:rsidRDefault="004906DF" w:rsidP="004906DF">
      <w:pPr>
        <w:tabs>
          <w:tab w:val="left" w:pos="1267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004820" w:rsidRPr="004D4B0B" w:rsidRDefault="00004820" w:rsidP="00004820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004820" w:rsidRPr="00F9455F" w:rsidRDefault="00F9455F" w:rsidP="00F9455F">
      <w:pPr>
        <w:tabs>
          <w:tab w:val="left" w:pos="4678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004820" w:rsidRPr="00F9455F" w:rsidRDefault="00F9455F" w:rsidP="004D4B0B">
      <w:pPr>
        <w:tabs>
          <w:tab w:val="left" w:pos="4820"/>
          <w:tab w:val="right" w:pos="992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9455F">
        <w:rPr>
          <w:rFonts w:ascii="Arial" w:hAnsi="Arial" w:cs="Arial"/>
          <w:i/>
          <w:sz w:val="16"/>
          <w:szCs w:val="16"/>
          <w:lang w:val="fr-CA"/>
        </w:rPr>
        <w:tab/>
      </w:r>
      <w:r w:rsidR="008E5356">
        <w:rPr>
          <w:rFonts w:ascii="Arial" w:hAnsi="Arial" w:cs="Arial"/>
          <w:i/>
          <w:sz w:val="16"/>
          <w:szCs w:val="16"/>
          <w:lang w:val="fr-CA"/>
        </w:rPr>
        <w:t>(s</w:t>
      </w:r>
      <w:r w:rsidR="003F3B75">
        <w:rPr>
          <w:rFonts w:ascii="Arial" w:hAnsi="Arial" w:cs="Arial"/>
          <w:i/>
          <w:sz w:val="16"/>
          <w:szCs w:val="16"/>
          <w:lang w:val="fr-CA"/>
        </w:rPr>
        <w:t xml:space="preserve">ignature de la partie </w:t>
      </w:r>
      <w:r w:rsidR="00004820" w:rsidRPr="00F9455F">
        <w:rPr>
          <w:rFonts w:ascii="Arial" w:hAnsi="Arial" w:cs="Arial"/>
          <w:i/>
          <w:sz w:val="16"/>
          <w:szCs w:val="16"/>
          <w:lang w:val="fr-CA"/>
        </w:rPr>
        <w:t>ou de la personne autorisée à agir en son nom</w:t>
      </w:r>
      <w:r w:rsidR="008E535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04820" w:rsidRPr="00F9455F" w:rsidRDefault="00F9455F" w:rsidP="00F9455F">
      <w:pPr>
        <w:tabs>
          <w:tab w:val="left" w:pos="4678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004820" w:rsidRPr="008E5356" w:rsidRDefault="00F9455F" w:rsidP="004D4B0B">
      <w:pPr>
        <w:tabs>
          <w:tab w:val="left" w:pos="6521"/>
          <w:tab w:val="left" w:pos="9810"/>
          <w:tab w:val="right" w:pos="992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E5356">
        <w:rPr>
          <w:rFonts w:ascii="Arial" w:hAnsi="Arial" w:cs="Arial"/>
          <w:i/>
          <w:sz w:val="16"/>
          <w:szCs w:val="16"/>
          <w:lang w:val="fr-CA"/>
        </w:rPr>
        <w:tab/>
      </w:r>
      <w:r w:rsidR="008E5356" w:rsidRPr="008E5356">
        <w:rPr>
          <w:rFonts w:ascii="Arial" w:hAnsi="Arial" w:cs="Arial"/>
          <w:i/>
          <w:sz w:val="16"/>
          <w:szCs w:val="16"/>
          <w:lang w:val="fr-CA"/>
        </w:rPr>
        <w:t>(n</w:t>
      </w:r>
      <w:r w:rsidR="00004820" w:rsidRPr="008E5356">
        <w:rPr>
          <w:rFonts w:ascii="Arial" w:hAnsi="Arial" w:cs="Arial"/>
          <w:i/>
          <w:sz w:val="16"/>
          <w:szCs w:val="16"/>
          <w:lang w:val="fr-CA"/>
        </w:rPr>
        <w:t>uméro de téléphone</w:t>
      </w:r>
      <w:r w:rsidR="008E5356" w:rsidRPr="008E535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9455F" w:rsidRPr="00F9455F" w:rsidRDefault="00F9455F" w:rsidP="00F9455F">
      <w:pPr>
        <w:tabs>
          <w:tab w:val="left" w:pos="4678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004820" w:rsidRPr="008E5356" w:rsidRDefault="00004820" w:rsidP="004D4B0B">
      <w:pPr>
        <w:tabs>
          <w:tab w:val="left" w:pos="6521"/>
          <w:tab w:val="right" w:pos="992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E5356">
        <w:rPr>
          <w:rFonts w:ascii="Arial" w:hAnsi="Arial" w:cs="Arial"/>
          <w:i/>
          <w:sz w:val="16"/>
          <w:szCs w:val="16"/>
          <w:lang w:val="fr-CA"/>
        </w:rPr>
        <w:tab/>
      </w:r>
      <w:r w:rsidR="008E5356" w:rsidRPr="008E5356">
        <w:rPr>
          <w:rFonts w:ascii="Arial" w:hAnsi="Arial" w:cs="Arial"/>
          <w:i/>
          <w:sz w:val="16"/>
          <w:szCs w:val="16"/>
          <w:lang w:val="fr-CA"/>
        </w:rPr>
        <w:t>(a</w:t>
      </w:r>
      <w:r w:rsidRPr="008E5356">
        <w:rPr>
          <w:rFonts w:ascii="Arial" w:hAnsi="Arial" w:cs="Arial"/>
          <w:i/>
          <w:sz w:val="16"/>
          <w:szCs w:val="16"/>
          <w:lang w:val="fr-CA"/>
        </w:rPr>
        <w:t>dresse électronique</w:t>
      </w:r>
      <w:r w:rsidR="008E5356" w:rsidRPr="008E535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906DF" w:rsidRDefault="004906DF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D4B0B" w:rsidRPr="004D4B0B" w:rsidRDefault="004D4B0B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4D59A7" w:rsidRPr="00F9455F" w:rsidRDefault="001F7E29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>La présente requête sera entendue le</w:t>
      </w:r>
      <w:r w:rsidR="00BF1BC6" w:rsidRPr="00F9455F">
        <w:rPr>
          <w:rFonts w:ascii="Arial" w:hAnsi="Arial" w:cs="Arial"/>
          <w:sz w:val="22"/>
          <w:szCs w:val="22"/>
          <w:lang w:val="fr-CA"/>
        </w:rPr>
        <w:t> </w:t>
      </w:r>
      <w:r w:rsidR="004D59A7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851A5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BF1BC6" w:rsidRPr="00F9455F">
        <w:rPr>
          <w:rFonts w:ascii="Arial" w:hAnsi="Arial" w:cs="Arial"/>
          <w:sz w:val="22"/>
          <w:szCs w:val="22"/>
          <w:lang w:val="fr-CA"/>
        </w:rPr>
        <w:t xml:space="preserve">, </w:t>
      </w:r>
      <w:r w:rsidRPr="00F9455F">
        <w:rPr>
          <w:rFonts w:ascii="Arial" w:hAnsi="Arial" w:cs="Arial"/>
          <w:sz w:val="22"/>
          <w:szCs w:val="22"/>
          <w:lang w:val="fr-CA"/>
        </w:rPr>
        <w:t>à</w:t>
      </w:r>
      <w:r w:rsidR="00BF1BC6" w:rsidRPr="00F9455F">
        <w:rPr>
          <w:rFonts w:ascii="Arial" w:hAnsi="Arial" w:cs="Arial"/>
          <w:sz w:val="22"/>
          <w:szCs w:val="22"/>
          <w:lang w:val="fr-CA"/>
        </w:rPr>
        <w:t> </w:t>
      </w:r>
      <w:r w:rsidR="004D59A7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D59A7" w:rsidRPr="00F9455F">
        <w:rPr>
          <w:rFonts w:ascii="Arial" w:hAnsi="Arial" w:cs="Arial"/>
          <w:sz w:val="22"/>
          <w:szCs w:val="22"/>
          <w:lang w:val="fr-CA"/>
        </w:rPr>
        <w:t> </w:t>
      </w:r>
      <w:r w:rsidRPr="00F9455F">
        <w:rPr>
          <w:rFonts w:ascii="Arial" w:hAnsi="Arial" w:cs="Arial"/>
          <w:sz w:val="22"/>
          <w:szCs w:val="22"/>
          <w:lang w:val="fr-CA"/>
        </w:rPr>
        <w:t>heure</w:t>
      </w:r>
      <w:r w:rsidR="00F9455F">
        <w:rPr>
          <w:rFonts w:ascii="Arial" w:hAnsi="Arial" w:cs="Arial"/>
          <w:sz w:val="22"/>
          <w:szCs w:val="22"/>
          <w:lang w:val="fr-CA"/>
        </w:rPr>
        <w:t>(</w:t>
      </w:r>
      <w:r w:rsidRPr="00F9455F">
        <w:rPr>
          <w:rFonts w:ascii="Arial" w:hAnsi="Arial" w:cs="Arial"/>
          <w:sz w:val="22"/>
          <w:szCs w:val="22"/>
          <w:lang w:val="fr-CA"/>
        </w:rPr>
        <w:t>s</w:t>
      </w:r>
      <w:r w:rsidR="00F9455F">
        <w:rPr>
          <w:rFonts w:ascii="Arial" w:hAnsi="Arial" w:cs="Arial"/>
          <w:sz w:val="22"/>
          <w:szCs w:val="22"/>
          <w:lang w:val="fr-CA"/>
        </w:rPr>
        <w:t>)</w:t>
      </w:r>
      <w:r w:rsidR="00535074" w:rsidRPr="00F9455F">
        <w:rPr>
          <w:rFonts w:ascii="Arial" w:hAnsi="Arial" w:cs="Arial"/>
          <w:sz w:val="22"/>
          <w:szCs w:val="22"/>
          <w:lang w:val="fr-CA"/>
        </w:rPr>
        <w:t>,</w:t>
      </w:r>
      <w:r w:rsidR="004D59A7" w:rsidRPr="00F9455F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2851A5" w:rsidRPr="00F9455F" w:rsidRDefault="002851A5" w:rsidP="004D4B0B">
      <w:pPr>
        <w:tabs>
          <w:tab w:val="right" w:pos="1267"/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i/>
          <w:sz w:val="16"/>
          <w:szCs w:val="16"/>
          <w:lang w:val="fr-CA"/>
        </w:rPr>
        <w:tab/>
      </w:r>
      <w:r w:rsidRPr="00F9455F"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1F7E29" w:rsidRPr="00F9455F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F9455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90FDF" w:rsidRPr="00F9455F" w:rsidRDefault="001F7E29" w:rsidP="00FF0743">
      <w:pPr>
        <w:tabs>
          <w:tab w:val="right" w:pos="1267"/>
          <w:tab w:val="left" w:pos="4860"/>
          <w:tab w:val="left" w:pos="5130"/>
          <w:tab w:val="left" w:pos="88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>au</w:t>
      </w:r>
      <w:r w:rsidR="00BF1BC6" w:rsidRPr="00F9455F">
        <w:rPr>
          <w:rFonts w:ascii="Arial" w:hAnsi="Arial" w:cs="Arial"/>
          <w:sz w:val="22"/>
          <w:szCs w:val="22"/>
          <w:lang w:val="fr-CA"/>
        </w:rPr>
        <w:t> </w:t>
      </w:r>
      <w:r w:rsidR="00BF1BC6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F0743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906DF" w:rsidRPr="00F9455F">
        <w:rPr>
          <w:rFonts w:ascii="Arial" w:hAnsi="Arial" w:cs="Arial"/>
          <w:sz w:val="22"/>
          <w:szCs w:val="22"/>
          <w:lang w:val="fr-CA"/>
        </w:rPr>
        <w:t xml:space="preserve">, </w:t>
      </w:r>
      <w:r w:rsidRPr="00F9455F">
        <w:rPr>
          <w:rFonts w:ascii="Arial" w:hAnsi="Arial" w:cs="Arial"/>
          <w:sz w:val="22"/>
          <w:szCs w:val="22"/>
          <w:lang w:val="fr-CA"/>
        </w:rPr>
        <w:t xml:space="preserve">au </w:t>
      </w:r>
      <w:r w:rsidR="004906DF" w:rsidRPr="00F9455F">
        <w:rPr>
          <w:rFonts w:ascii="Arial" w:hAnsi="Arial" w:cs="Arial"/>
          <w:sz w:val="22"/>
          <w:szCs w:val="22"/>
          <w:lang w:val="fr-CA"/>
        </w:rPr>
        <w:t>Manitoba.</w:t>
      </w:r>
    </w:p>
    <w:p w:rsidR="00390FDF" w:rsidRPr="00F9455F" w:rsidRDefault="00FF0743" w:rsidP="00FF0743">
      <w:pPr>
        <w:tabs>
          <w:tab w:val="left" w:pos="189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i/>
          <w:sz w:val="16"/>
          <w:szCs w:val="16"/>
          <w:lang w:val="fr-CA"/>
        </w:rPr>
        <w:t>(</w:t>
      </w:r>
      <w:r w:rsidR="001F7E29" w:rsidRPr="00F9455F">
        <w:rPr>
          <w:rFonts w:ascii="Arial" w:hAnsi="Arial" w:cs="Arial"/>
          <w:i/>
          <w:sz w:val="16"/>
          <w:szCs w:val="16"/>
          <w:lang w:val="fr-CA"/>
        </w:rPr>
        <w:t>adresse du tribunal</w:t>
      </w:r>
      <w:r w:rsidRPr="00F9455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C0DF1" w:rsidRPr="0076551D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F9455F" w:rsidRDefault="004906DF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FF0743" w:rsidRPr="00F9455F" w:rsidRDefault="00FF0743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F9455F" w:rsidRDefault="00066CC3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367B39" w:rsidRPr="00F9455F">
        <w:rPr>
          <w:rFonts w:ascii="Arial" w:hAnsi="Arial" w:cs="Arial"/>
          <w:sz w:val="22"/>
          <w:szCs w:val="22"/>
          <w:lang w:val="fr-CA"/>
        </w:rPr>
        <w:tab/>
      </w:r>
      <w:r w:rsidR="00E6686A" w:rsidRPr="00F9455F">
        <w:rPr>
          <w:rFonts w:ascii="Arial" w:hAnsi="Arial" w:cs="Arial"/>
          <w:sz w:val="22"/>
          <w:szCs w:val="22"/>
          <w:lang w:val="fr-CA"/>
        </w:rPr>
        <w:tab/>
      </w:r>
      <w:r w:rsidR="00367B39" w:rsidRPr="00F9455F">
        <w:rPr>
          <w:rFonts w:ascii="Arial" w:hAnsi="Arial" w:cs="Arial"/>
          <w:sz w:val="22"/>
          <w:szCs w:val="22"/>
          <w:u w:val="single"/>
          <w:lang w:val="fr-CA"/>
        </w:rPr>
        <w:t>___________________________________</w:t>
      </w:r>
    </w:p>
    <w:p w:rsidR="00EC0DF1" w:rsidRPr="008E5356" w:rsidRDefault="00FF0743" w:rsidP="00176354">
      <w:pPr>
        <w:tabs>
          <w:tab w:val="left" w:pos="5760"/>
        </w:tabs>
        <w:spacing w:line="215" w:lineRule="auto"/>
        <w:rPr>
          <w:rFonts w:ascii="Arial" w:hAnsi="Arial" w:cs="Arial"/>
          <w:sz w:val="22"/>
          <w:szCs w:val="22"/>
          <w:lang w:val="fr-CA"/>
        </w:rPr>
      </w:pPr>
      <w:r w:rsidRPr="008E5356">
        <w:rPr>
          <w:rFonts w:ascii="Arial" w:hAnsi="Arial" w:cs="Arial"/>
          <w:sz w:val="22"/>
          <w:szCs w:val="22"/>
          <w:lang w:val="fr-CA"/>
        </w:rPr>
        <w:t>Date</w:t>
      </w:r>
      <w:r w:rsidR="00367B39" w:rsidRPr="008E5356">
        <w:rPr>
          <w:rFonts w:ascii="Arial" w:hAnsi="Arial" w:cs="Arial"/>
          <w:sz w:val="22"/>
          <w:szCs w:val="22"/>
          <w:lang w:val="fr-CA"/>
        </w:rPr>
        <w:tab/>
      </w:r>
      <w:r w:rsidR="001F7E29" w:rsidRPr="008E5356">
        <w:rPr>
          <w:rFonts w:ascii="Arial" w:hAnsi="Arial" w:cs="Arial"/>
          <w:sz w:val="22"/>
          <w:szCs w:val="22"/>
          <w:lang w:val="fr-CA"/>
        </w:rPr>
        <w:t>Registraire adjoint</w:t>
      </w:r>
    </w:p>
    <w:p w:rsidR="00EC0DF1" w:rsidRPr="0076551D" w:rsidRDefault="00EC0DF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3F3B75" w:rsidRDefault="00387922" w:rsidP="004D4B0B">
      <w:pPr>
        <w:tabs>
          <w:tab w:val="left" w:pos="5227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r w:rsidR="003F3F32" w:rsidRPr="003F3F32">
        <w:rPr>
          <w:rFonts w:ascii="Arial" w:hAnsi="Arial" w:cs="Arial"/>
          <w:sz w:val="16"/>
          <w:szCs w:val="16"/>
          <w:lang w:val="fr-CA"/>
        </w:rPr>
        <w:t>section réservée au</w:t>
      </w:r>
      <w:r w:rsidR="003F3B75" w:rsidRPr="003F3F32">
        <w:rPr>
          <w:rFonts w:ascii="Arial" w:hAnsi="Arial" w:cs="Arial"/>
          <w:sz w:val="16"/>
          <w:szCs w:val="16"/>
          <w:lang w:val="fr-CA"/>
        </w:rPr>
        <w:t xml:space="preserve"> registraire adjoint</w:t>
      </w:r>
      <w:r>
        <w:rPr>
          <w:rFonts w:ascii="Arial" w:hAnsi="Arial" w:cs="Arial"/>
          <w:sz w:val="16"/>
          <w:szCs w:val="16"/>
          <w:lang w:val="fr-CA"/>
        </w:rPr>
        <w:t>)</w:t>
      </w:r>
    </w:p>
    <w:p w:rsidR="007076DC" w:rsidRDefault="00FF0743" w:rsidP="004D4B0B">
      <w:pPr>
        <w:tabs>
          <w:tab w:val="left" w:pos="450"/>
          <w:tab w:val="left" w:pos="522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F9455F">
        <w:rPr>
          <w:rFonts w:ascii="Arial" w:hAnsi="Arial" w:cs="Arial"/>
          <w:sz w:val="22"/>
          <w:szCs w:val="22"/>
          <w:lang w:val="fr-CA"/>
        </w:rPr>
        <w:tab/>
      </w:r>
      <w:r w:rsidR="003C43A4" w:rsidRPr="00F9455F">
        <w:rPr>
          <w:rFonts w:ascii="Arial" w:hAnsi="Arial" w:cs="Arial"/>
          <w:sz w:val="22"/>
          <w:szCs w:val="22"/>
          <w:lang w:val="fr-CA"/>
        </w:rPr>
        <w:t>150</w:t>
      </w:r>
      <w:r w:rsidR="00CC757C" w:rsidRPr="00F9455F">
        <w:rPr>
          <w:rFonts w:ascii="Arial" w:hAnsi="Arial" w:cs="Arial"/>
          <w:sz w:val="22"/>
          <w:szCs w:val="22"/>
          <w:lang w:val="fr-CA"/>
        </w:rPr>
        <w:t> </w:t>
      </w:r>
      <w:r w:rsidR="001F7E29" w:rsidRPr="00F9455F">
        <w:rPr>
          <w:rFonts w:ascii="Arial" w:hAnsi="Arial" w:cs="Arial"/>
          <w:sz w:val="22"/>
          <w:szCs w:val="22"/>
          <w:lang w:val="fr-CA"/>
        </w:rPr>
        <w:t>$</w:t>
      </w:r>
      <w:r w:rsidR="003C43A4" w:rsidRPr="00F9455F">
        <w:rPr>
          <w:rFonts w:ascii="Arial" w:hAnsi="Arial" w:cs="Arial"/>
          <w:sz w:val="22"/>
          <w:szCs w:val="22"/>
          <w:lang w:val="fr-CA"/>
        </w:rPr>
        <w:t xml:space="preserve"> </w:t>
      </w:r>
      <w:r w:rsidR="001F7E29" w:rsidRPr="00F9455F">
        <w:rPr>
          <w:rFonts w:ascii="Arial" w:hAnsi="Arial" w:cs="Arial"/>
          <w:sz w:val="22"/>
          <w:szCs w:val="22"/>
          <w:lang w:val="fr-CA"/>
        </w:rPr>
        <w:t>de cautionnement pour frais</w:t>
      </w:r>
    </w:p>
    <w:p w:rsidR="004D4B0B" w:rsidRPr="004D4B0B" w:rsidRDefault="004D4B0B" w:rsidP="004D4B0B">
      <w:pPr>
        <w:tabs>
          <w:tab w:val="left" w:pos="450"/>
          <w:tab w:val="left" w:pos="5227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F0743" w:rsidRPr="004D4B0B" w:rsidRDefault="00FF0743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4860"/>
        </w:tabs>
        <w:spacing w:line="215" w:lineRule="auto"/>
        <w:rPr>
          <w:rFonts w:ascii="Arial" w:hAnsi="Arial" w:cs="Arial"/>
          <w:sz w:val="8"/>
          <w:szCs w:val="8"/>
          <w:lang w:val="fr-CA"/>
        </w:rPr>
      </w:pPr>
    </w:p>
    <w:p w:rsidR="00EC0DF1" w:rsidRPr="004D4B0B" w:rsidRDefault="001F7E29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4860"/>
        </w:tabs>
        <w:spacing w:line="215" w:lineRule="auto"/>
        <w:jc w:val="center"/>
        <w:rPr>
          <w:rFonts w:ascii="Arial" w:hAnsi="Arial" w:cs="Arial"/>
          <w:b/>
          <w:sz w:val="18"/>
          <w:szCs w:val="18"/>
          <w:lang w:val="fr-CA"/>
        </w:rPr>
      </w:pPr>
      <w:r w:rsidRPr="004D4B0B">
        <w:rPr>
          <w:rFonts w:ascii="Arial" w:hAnsi="Arial" w:cs="Arial"/>
          <w:b/>
          <w:sz w:val="18"/>
          <w:szCs w:val="18"/>
          <w:lang w:val="fr-CA"/>
        </w:rPr>
        <w:t>AVIS</w:t>
      </w:r>
    </w:p>
    <w:p w:rsidR="00EC0DF1" w:rsidRPr="004D4B0B" w:rsidRDefault="00EC0DF1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8"/>
          <w:szCs w:val="8"/>
          <w:lang w:val="fr-CA"/>
        </w:rPr>
      </w:pPr>
    </w:p>
    <w:p w:rsidR="00EC0DF1" w:rsidRPr="004D4B0B" w:rsidRDefault="00D454C4" w:rsidP="004D4B0B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4D4B0B">
        <w:rPr>
          <w:rFonts w:ascii="Arial" w:hAnsi="Arial" w:cs="Arial"/>
          <w:sz w:val="18"/>
          <w:szCs w:val="18"/>
          <w:lang w:val="fr-CA"/>
        </w:rPr>
        <w:t>1.</w:t>
      </w:r>
      <w:r w:rsidRPr="004D4B0B">
        <w:rPr>
          <w:rFonts w:ascii="Arial" w:hAnsi="Arial" w:cs="Arial"/>
          <w:sz w:val="18"/>
          <w:szCs w:val="18"/>
          <w:lang w:val="fr-CA"/>
        </w:rPr>
        <w:tab/>
      </w:r>
      <w:r w:rsidR="001F7E29" w:rsidRPr="004D4B0B">
        <w:rPr>
          <w:rFonts w:ascii="Arial" w:hAnsi="Arial" w:cs="Arial"/>
          <w:sz w:val="18"/>
          <w:szCs w:val="18"/>
          <w:lang w:val="fr-CA"/>
        </w:rPr>
        <w:t xml:space="preserve">Si </w:t>
      </w:r>
      <w:r w:rsidR="00CC757C" w:rsidRPr="004D4B0B">
        <w:rPr>
          <w:rFonts w:ascii="Arial" w:hAnsi="Arial" w:cs="Arial"/>
          <w:sz w:val="18"/>
          <w:szCs w:val="18"/>
          <w:lang w:val="fr-CA"/>
        </w:rPr>
        <w:t>elle</w:t>
      </w:r>
      <w:r w:rsidR="001F7E29" w:rsidRPr="004D4B0B">
        <w:rPr>
          <w:rFonts w:ascii="Arial" w:hAnsi="Arial" w:cs="Arial"/>
          <w:sz w:val="18"/>
          <w:szCs w:val="18"/>
          <w:lang w:val="fr-CA"/>
        </w:rPr>
        <w:t xml:space="preserve"> est annulée par le juge ou l’auxiliaire de la justice qui </w:t>
      </w:r>
      <w:r w:rsidR="000573A4" w:rsidRPr="004D4B0B">
        <w:rPr>
          <w:rFonts w:ascii="Arial" w:hAnsi="Arial" w:cs="Arial"/>
          <w:sz w:val="18"/>
          <w:szCs w:val="18"/>
          <w:lang w:val="fr-CA"/>
        </w:rPr>
        <w:t>entend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la présente requête, la décision </w:t>
      </w:r>
      <w:r w:rsidR="00CC757C" w:rsidRPr="004D4B0B">
        <w:rPr>
          <w:rFonts w:ascii="Arial" w:hAnsi="Arial" w:cs="Arial"/>
          <w:sz w:val="18"/>
          <w:szCs w:val="18"/>
          <w:lang w:val="fr-CA"/>
        </w:rPr>
        <w:t>devient caduque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à compter de la date à laquelle l’ordonnance d’annulation est rendue.</w:t>
      </w:r>
    </w:p>
    <w:p w:rsidR="00EC0DF1" w:rsidRPr="004D4B0B" w:rsidRDefault="00EC0DF1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both"/>
        <w:rPr>
          <w:rFonts w:ascii="Arial" w:hAnsi="Arial" w:cs="Arial"/>
          <w:sz w:val="12"/>
          <w:szCs w:val="12"/>
          <w:lang w:val="fr-CA"/>
        </w:rPr>
      </w:pPr>
    </w:p>
    <w:p w:rsidR="00EC0DF1" w:rsidRPr="004D4B0B" w:rsidRDefault="00286723" w:rsidP="004D4B0B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4D4B0B">
        <w:rPr>
          <w:rFonts w:ascii="Arial" w:hAnsi="Arial" w:cs="Arial"/>
          <w:sz w:val="18"/>
          <w:szCs w:val="18"/>
          <w:lang w:val="fr-CA"/>
        </w:rPr>
        <w:t>2</w:t>
      </w:r>
      <w:r w:rsidR="00D454C4" w:rsidRPr="004D4B0B">
        <w:rPr>
          <w:rFonts w:ascii="Arial" w:hAnsi="Arial" w:cs="Arial"/>
          <w:sz w:val="18"/>
          <w:szCs w:val="18"/>
          <w:lang w:val="fr-CA"/>
        </w:rPr>
        <w:t>.</w:t>
      </w:r>
      <w:r w:rsidR="00D454C4" w:rsidRPr="004D4B0B">
        <w:rPr>
          <w:rFonts w:ascii="Arial" w:hAnsi="Arial" w:cs="Arial"/>
          <w:sz w:val="18"/>
          <w:szCs w:val="18"/>
          <w:lang w:val="fr-CA"/>
        </w:rPr>
        <w:tab/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Si la décision n’est pas annulée par le juge ou l’auxiliaire de la justice qui </w:t>
      </w:r>
      <w:r w:rsidR="000573A4" w:rsidRPr="004D4B0B">
        <w:rPr>
          <w:rFonts w:ascii="Arial" w:hAnsi="Arial" w:cs="Arial"/>
          <w:sz w:val="18"/>
          <w:szCs w:val="18"/>
          <w:lang w:val="fr-CA"/>
        </w:rPr>
        <w:t>entend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la présent</w:t>
      </w:r>
      <w:r w:rsidR="000573A4" w:rsidRPr="004D4B0B">
        <w:rPr>
          <w:rFonts w:ascii="Arial" w:hAnsi="Arial" w:cs="Arial"/>
          <w:sz w:val="18"/>
          <w:szCs w:val="18"/>
          <w:lang w:val="fr-CA"/>
        </w:rPr>
        <w:t>e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requête, la décision demeure en vigueur et peut être exécutée de la même </w:t>
      </w:r>
      <w:r w:rsidR="000573A4" w:rsidRPr="004D4B0B">
        <w:rPr>
          <w:rFonts w:ascii="Arial" w:hAnsi="Arial" w:cs="Arial"/>
          <w:sz w:val="18"/>
          <w:szCs w:val="18"/>
          <w:lang w:val="fr-CA"/>
        </w:rPr>
        <w:t>manière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qu’un jugement du tribunal. </w:t>
      </w:r>
    </w:p>
    <w:p w:rsidR="00286723" w:rsidRPr="004D4B0B" w:rsidRDefault="00286723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both"/>
        <w:rPr>
          <w:rFonts w:ascii="Arial" w:hAnsi="Arial" w:cs="Arial"/>
          <w:sz w:val="12"/>
          <w:szCs w:val="12"/>
          <w:lang w:val="fr-CA"/>
        </w:rPr>
      </w:pPr>
    </w:p>
    <w:p w:rsidR="00286723" w:rsidRPr="004D4B0B" w:rsidRDefault="00286723" w:rsidP="007B43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4D4B0B">
        <w:rPr>
          <w:rFonts w:ascii="Arial" w:hAnsi="Arial" w:cs="Arial"/>
          <w:sz w:val="18"/>
          <w:szCs w:val="18"/>
          <w:lang w:val="fr-CA"/>
        </w:rPr>
        <w:t>3</w:t>
      </w:r>
      <w:r w:rsidR="00D454C4" w:rsidRPr="004D4B0B">
        <w:rPr>
          <w:rFonts w:ascii="Arial" w:hAnsi="Arial" w:cs="Arial"/>
          <w:sz w:val="18"/>
          <w:szCs w:val="18"/>
          <w:lang w:val="fr-CA"/>
        </w:rPr>
        <w:t>.</w:t>
      </w:r>
      <w:r w:rsidR="00D454C4" w:rsidRPr="004D4B0B">
        <w:rPr>
          <w:rFonts w:ascii="Arial" w:hAnsi="Arial" w:cs="Arial"/>
          <w:sz w:val="18"/>
          <w:szCs w:val="18"/>
          <w:lang w:val="fr-CA"/>
        </w:rPr>
        <w:tab/>
      </w:r>
      <w:r w:rsidR="001F7E29" w:rsidRPr="004D4B0B">
        <w:rPr>
          <w:rFonts w:ascii="Arial" w:hAnsi="Arial" w:cs="Arial"/>
          <w:sz w:val="18"/>
          <w:szCs w:val="18"/>
          <w:lang w:val="fr-CA"/>
        </w:rPr>
        <w:t>L’ordonnance rendue par le juge ou l’auxiliaire de la justice à l’audience en annulation de la décision est définitive et ne peut faire l’objet d’un appel.</w:t>
      </w:r>
    </w:p>
    <w:p w:rsidR="007B43B1" w:rsidRPr="004D4B0B" w:rsidRDefault="007B43B1" w:rsidP="007B43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8"/>
          <w:szCs w:val="8"/>
          <w:lang w:val="fr-CA"/>
        </w:rPr>
      </w:pPr>
    </w:p>
    <w:sectPr w:rsidR="007B43B1" w:rsidRPr="004D4B0B" w:rsidSect="004D4B0B">
      <w:headerReference w:type="default" r:id="rId8"/>
      <w:footerReference w:type="default" r:id="rId9"/>
      <w:pgSz w:w="12240" w:h="15840"/>
      <w:pgMar w:top="1077" w:right="1151" w:bottom="737" w:left="1151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49" w:rsidRDefault="00487049" w:rsidP="00EC0DF1">
      <w:r>
        <w:separator/>
      </w:r>
    </w:p>
  </w:endnote>
  <w:endnote w:type="continuationSeparator" w:id="0">
    <w:p w:rsidR="00487049" w:rsidRDefault="00487049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49" w:rsidRDefault="00487049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49" w:rsidRDefault="00487049" w:rsidP="00EC0DF1">
      <w:r>
        <w:separator/>
      </w:r>
    </w:p>
  </w:footnote>
  <w:footnote w:type="continuationSeparator" w:id="0">
    <w:p w:rsidR="00487049" w:rsidRDefault="00487049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49" w:rsidRPr="00711931" w:rsidRDefault="00487049" w:rsidP="009814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711931">
      <w:rPr>
        <w:rFonts w:ascii="Arial" w:hAnsi="Arial" w:cs="Arial"/>
        <w:sz w:val="16"/>
        <w:szCs w:val="16"/>
        <w:lang w:val="fr-CA"/>
      </w:rPr>
      <w:t xml:space="preserve">Formule 76I – page </w:t>
    </w:r>
    <w:r w:rsidR="006A27DC" w:rsidRPr="004D59A7">
      <w:rPr>
        <w:rFonts w:ascii="Arial" w:hAnsi="Arial" w:cs="Arial"/>
        <w:sz w:val="16"/>
        <w:szCs w:val="16"/>
      </w:rPr>
      <w:fldChar w:fldCharType="begin"/>
    </w:r>
    <w:r w:rsidRPr="00711931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6A27DC" w:rsidRPr="004D59A7">
      <w:rPr>
        <w:rFonts w:ascii="Arial" w:hAnsi="Arial" w:cs="Arial"/>
        <w:sz w:val="16"/>
        <w:szCs w:val="16"/>
      </w:rPr>
      <w:fldChar w:fldCharType="separate"/>
    </w:r>
    <w:r w:rsidR="005D484F">
      <w:rPr>
        <w:rFonts w:ascii="Arial" w:hAnsi="Arial" w:cs="Arial"/>
        <w:noProof/>
        <w:sz w:val="16"/>
        <w:szCs w:val="16"/>
        <w:lang w:val="fr-CA"/>
      </w:rPr>
      <w:t>1</w:t>
    </w:r>
    <w:r w:rsidR="006A27DC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11931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6A27DC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711931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6A27DC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5D484F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="006A27DC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11931">
      <w:rPr>
        <w:rFonts w:ascii="Arial" w:hAnsi="Arial" w:cs="Arial"/>
        <w:sz w:val="18"/>
        <w:lang w:val="fr-CA"/>
      </w:rPr>
      <w:tab/>
    </w:r>
    <w:r w:rsidRPr="00711931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711931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711931">
      <w:rPr>
        <w:rFonts w:ascii="Arial" w:hAnsi="Arial" w:cs="Arial"/>
        <w:sz w:val="20"/>
        <w:lang w:val="fr-CA"/>
      </w:rPr>
      <w:t> </w:t>
    </w:r>
    <w:r w:rsidRPr="00711931">
      <w:rPr>
        <w:rFonts w:ascii="Arial" w:hAnsi="Arial" w:cs="Arial"/>
        <w:sz w:val="20"/>
        <w:u w:val="single"/>
        <w:lang w:val="fr-CA"/>
      </w:rPr>
      <w:tab/>
    </w:r>
  </w:p>
  <w:p w:rsidR="00487049" w:rsidRPr="00711931" w:rsidRDefault="00487049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  <w:p w:rsidR="00487049" w:rsidRPr="00711931" w:rsidRDefault="00487049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5"/>
    <w:multiLevelType w:val="hybridMultilevel"/>
    <w:tmpl w:val="35240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04820"/>
    <w:rsid w:val="00016528"/>
    <w:rsid w:val="000573A4"/>
    <w:rsid w:val="00066CC3"/>
    <w:rsid w:val="000E0802"/>
    <w:rsid w:val="00107654"/>
    <w:rsid w:val="00163C47"/>
    <w:rsid w:val="00176354"/>
    <w:rsid w:val="00184282"/>
    <w:rsid w:val="001C3893"/>
    <w:rsid w:val="001E717B"/>
    <w:rsid w:val="001F7E29"/>
    <w:rsid w:val="0023729C"/>
    <w:rsid w:val="0028509C"/>
    <w:rsid w:val="002851A5"/>
    <w:rsid w:val="00286723"/>
    <w:rsid w:val="002B47B0"/>
    <w:rsid w:val="002D67C5"/>
    <w:rsid w:val="002E7586"/>
    <w:rsid w:val="0033295D"/>
    <w:rsid w:val="00367B39"/>
    <w:rsid w:val="00387922"/>
    <w:rsid w:val="00390FDF"/>
    <w:rsid w:val="00397D73"/>
    <w:rsid w:val="003A175C"/>
    <w:rsid w:val="003B2EAC"/>
    <w:rsid w:val="003C1649"/>
    <w:rsid w:val="003C43A4"/>
    <w:rsid w:val="003F29A9"/>
    <w:rsid w:val="003F3B75"/>
    <w:rsid w:val="003F3F32"/>
    <w:rsid w:val="00421815"/>
    <w:rsid w:val="004336D8"/>
    <w:rsid w:val="00453F01"/>
    <w:rsid w:val="00457773"/>
    <w:rsid w:val="004618D9"/>
    <w:rsid w:val="004658D1"/>
    <w:rsid w:val="00487049"/>
    <w:rsid w:val="004906DF"/>
    <w:rsid w:val="00493FFA"/>
    <w:rsid w:val="004D4B0B"/>
    <w:rsid w:val="004D59A7"/>
    <w:rsid w:val="00535074"/>
    <w:rsid w:val="0057506B"/>
    <w:rsid w:val="005903D3"/>
    <w:rsid w:val="005A5F08"/>
    <w:rsid w:val="005B5301"/>
    <w:rsid w:val="005D0E85"/>
    <w:rsid w:val="005D484F"/>
    <w:rsid w:val="005D6DF3"/>
    <w:rsid w:val="005E06F4"/>
    <w:rsid w:val="006213D5"/>
    <w:rsid w:val="00623C98"/>
    <w:rsid w:val="00674391"/>
    <w:rsid w:val="00685599"/>
    <w:rsid w:val="006A221D"/>
    <w:rsid w:val="006A27DC"/>
    <w:rsid w:val="006D7E35"/>
    <w:rsid w:val="007076DC"/>
    <w:rsid w:val="00711931"/>
    <w:rsid w:val="0073634B"/>
    <w:rsid w:val="00736AD9"/>
    <w:rsid w:val="0076551D"/>
    <w:rsid w:val="00784808"/>
    <w:rsid w:val="007B43B1"/>
    <w:rsid w:val="007B7D7D"/>
    <w:rsid w:val="007C075C"/>
    <w:rsid w:val="007F37CE"/>
    <w:rsid w:val="0080132D"/>
    <w:rsid w:val="00822961"/>
    <w:rsid w:val="00826A2A"/>
    <w:rsid w:val="008559FC"/>
    <w:rsid w:val="00882777"/>
    <w:rsid w:val="008E5356"/>
    <w:rsid w:val="009814E5"/>
    <w:rsid w:val="009957CD"/>
    <w:rsid w:val="009F6B70"/>
    <w:rsid w:val="009F7A7F"/>
    <w:rsid w:val="00A101AA"/>
    <w:rsid w:val="00A24475"/>
    <w:rsid w:val="00A24A5D"/>
    <w:rsid w:val="00A44418"/>
    <w:rsid w:val="00A90EAB"/>
    <w:rsid w:val="00A94EBC"/>
    <w:rsid w:val="00A96CDA"/>
    <w:rsid w:val="00AA2A1D"/>
    <w:rsid w:val="00AC75CE"/>
    <w:rsid w:val="00AC7688"/>
    <w:rsid w:val="00AF5070"/>
    <w:rsid w:val="00B16A5B"/>
    <w:rsid w:val="00B65C9C"/>
    <w:rsid w:val="00B842CA"/>
    <w:rsid w:val="00BC7F2E"/>
    <w:rsid w:val="00BD3688"/>
    <w:rsid w:val="00BF01A8"/>
    <w:rsid w:val="00BF1BC6"/>
    <w:rsid w:val="00C33903"/>
    <w:rsid w:val="00CC757C"/>
    <w:rsid w:val="00D252AA"/>
    <w:rsid w:val="00D31A89"/>
    <w:rsid w:val="00D34E38"/>
    <w:rsid w:val="00D454C4"/>
    <w:rsid w:val="00D67C0E"/>
    <w:rsid w:val="00DE3316"/>
    <w:rsid w:val="00E22466"/>
    <w:rsid w:val="00E364E4"/>
    <w:rsid w:val="00E6686A"/>
    <w:rsid w:val="00E8401B"/>
    <w:rsid w:val="00EA4A3F"/>
    <w:rsid w:val="00EB2A26"/>
    <w:rsid w:val="00EC0DF1"/>
    <w:rsid w:val="00EE6579"/>
    <w:rsid w:val="00F06AFD"/>
    <w:rsid w:val="00F72456"/>
    <w:rsid w:val="00F9455F"/>
    <w:rsid w:val="00FC46EA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AE2EB4-AC58-42DF-9549-56459F1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4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4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4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8E04A-7CD6-41CC-9E24-111FA9B1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1212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76I : Requête en annulation de la décision</dc:title>
  <dc:creator/>
  <cp:lastModifiedBy>Harms, Jake E</cp:lastModifiedBy>
  <cp:revision>17</cp:revision>
  <cp:lastPrinted>2022-09-19T20:42:00Z</cp:lastPrinted>
  <dcterms:created xsi:type="dcterms:W3CDTF">2021-09-02T20:06:00Z</dcterms:created>
  <dcterms:modified xsi:type="dcterms:W3CDTF">2022-09-19T20:42:00Z</dcterms:modified>
</cp:coreProperties>
</file>