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58" w:rsidRPr="00FA5930" w:rsidRDefault="00833158" w:rsidP="00A8205E">
      <w:pPr>
        <w:jc w:val="center"/>
        <w:rPr>
          <w:rFonts w:ascii="Arial" w:hAnsi="Arial" w:cs="Arial"/>
          <w:b/>
          <w:sz w:val="22"/>
          <w:szCs w:val="22"/>
        </w:rPr>
      </w:pPr>
      <w:bookmarkStart w:id="0" w:name="_GoBack"/>
      <w:bookmarkEnd w:id="0"/>
      <w:r w:rsidRPr="00FA5930">
        <w:rPr>
          <w:rFonts w:ascii="Arial" w:hAnsi="Arial" w:cs="Arial"/>
          <w:b/>
          <w:sz w:val="22"/>
          <w:szCs w:val="22"/>
        </w:rPr>
        <w:t>INFORMATION FOR PERSONAL REPRESENTATIVES</w:t>
      </w:r>
      <w:r w:rsidR="00A8205E" w:rsidRPr="00FA5930">
        <w:rPr>
          <w:rFonts w:ascii="Arial" w:hAnsi="Arial" w:cs="Arial"/>
          <w:b/>
          <w:sz w:val="22"/>
          <w:szCs w:val="22"/>
        </w:rPr>
        <w:t xml:space="preserve"> </w:t>
      </w:r>
      <w:r w:rsidRPr="00FA5930">
        <w:rPr>
          <w:rFonts w:ascii="Arial" w:hAnsi="Arial" w:cs="Arial"/>
          <w:b/>
          <w:sz w:val="22"/>
          <w:szCs w:val="22"/>
        </w:rPr>
        <w:t>AND BENEFICIARIES</w:t>
      </w:r>
    </w:p>
    <w:p w:rsidR="00833158" w:rsidRPr="00FA5930" w:rsidRDefault="005E7A65" w:rsidP="00833158">
      <w:pPr>
        <w:rPr>
          <w:rFonts w:ascii="Arial" w:hAnsi="Arial" w:cs="Arial"/>
          <w:sz w:val="22"/>
          <w:szCs w:val="22"/>
        </w:rPr>
      </w:pPr>
      <w:r w:rsidRPr="00FA5930">
        <w:rPr>
          <w:rFonts w:ascii="Arial" w:hAnsi="Arial" w:cs="Arial"/>
          <w:sz w:val="22"/>
          <w:szCs w:val="22"/>
        </w:rPr>
        <w:fldChar w:fldCharType="begin"/>
      </w:r>
      <w:r w:rsidR="00833158" w:rsidRPr="00FA5930">
        <w:rPr>
          <w:rFonts w:ascii="Arial" w:hAnsi="Arial" w:cs="Arial"/>
          <w:sz w:val="22"/>
          <w:szCs w:val="22"/>
        </w:rPr>
        <w:instrText xml:space="preserve"> SEQ CHAPTER \h \r 1</w:instrText>
      </w:r>
      <w:r w:rsidRPr="00FA5930">
        <w:rPr>
          <w:rFonts w:ascii="Arial" w:hAnsi="Arial" w:cs="Arial"/>
          <w:sz w:val="22"/>
          <w:szCs w:val="22"/>
        </w:rPr>
        <w:fldChar w:fldCharType="end"/>
      </w:r>
    </w:p>
    <w:p w:rsidR="00833158" w:rsidRPr="00FA5930" w:rsidRDefault="00833158" w:rsidP="00833158">
      <w:pPr>
        <w:rPr>
          <w:rFonts w:ascii="Arial" w:hAnsi="Arial" w:cs="Arial"/>
          <w:sz w:val="22"/>
          <w:szCs w:val="22"/>
        </w:rPr>
      </w:pPr>
    </w:p>
    <w:tbl>
      <w:tblPr>
        <w:tblW w:w="0" w:type="auto"/>
        <w:tblInd w:w="81" w:type="dxa"/>
        <w:tblLayout w:type="fixed"/>
        <w:tblCellMar>
          <w:left w:w="81" w:type="dxa"/>
          <w:right w:w="81" w:type="dxa"/>
        </w:tblCellMar>
        <w:tblLook w:val="0000" w:firstRow="0" w:lastRow="0" w:firstColumn="0" w:lastColumn="0" w:noHBand="0" w:noVBand="0"/>
      </w:tblPr>
      <w:tblGrid>
        <w:gridCol w:w="9720"/>
      </w:tblGrid>
      <w:tr w:rsidR="00833158" w:rsidRPr="00FA5930">
        <w:trPr>
          <w:cantSplit/>
        </w:trPr>
        <w:tc>
          <w:tcPr>
            <w:tcW w:w="9720" w:type="dxa"/>
            <w:tcBorders>
              <w:top w:val="single" w:sz="12" w:space="0" w:color="000000"/>
              <w:left w:val="single" w:sz="12" w:space="0" w:color="000000"/>
              <w:bottom w:val="single" w:sz="12" w:space="0" w:color="000000"/>
              <w:right w:val="single" w:sz="12" w:space="0" w:color="000000"/>
            </w:tcBorders>
          </w:tcPr>
          <w:p w:rsidR="00833158" w:rsidRPr="00FA5930" w:rsidRDefault="00833158" w:rsidP="00DA11D5">
            <w:pPr>
              <w:spacing w:before="81" w:after="19"/>
              <w:jc w:val="both"/>
              <w:rPr>
                <w:rFonts w:ascii="Arial" w:hAnsi="Arial" w:cs="Arial"/>
                <w:sz w:val="22"/>
                <w:szCs w:val="22"/>
              </w:rPr>
            </w:pPr>
            <w:r w:rsidRPr="00FA5930">
              <w:rPr>
                <w:rFonts w:ascii="Arial" w:hAnsi="Arial" w:cs="Arial"/>
                <w:i/>
                <w:iCs/>
                <w:sz w:val="22"/>
                <w:szCs w:val="22"/>
              </w:rPr>
              <w:t xml:space="preserve">NOTE: Under </w:t>
            </w:r>
            <w:r w:rsidR="00160EF7" w:rsidRPr="00DA11D5">
              <w:rPr>
                <w:rFonts w:ascii="Arial" w:hAnsi="Arial" w:cs="Arial"/>
                <w:i/>
                <w:iCs/>
                <w:sz w:val="22"/>
                <w:szCs w:val="22"/>
              </w:rPr>
              <w:t>King’s</w:t>
            </w:r>
            <w:r w:rsidR="00160EF7">
              <w:rPr>
                <w:rFonts w:ascii="Arial" w:hAnsi="Arial" w:cs="Arial"/>
                <w:i/>
                <w:iCs/>
                <w:sz w:val="22"/>
                <w:szCs w:val="22"/>
              </w:rPr>
              <w:t xml:space="preserve"> </w:t>
            </w:r>
            <w:r w:rsidRPr="00FA5930">
              <w:rPr>
                <w:rFonts w:ascii="Arial" w:hAnsi="Arial" w:cs="Arial"/>
                <w:i/>
                <w:iCs/>
                <w:sz w:val="22"/>
                <w:szCs w:val="22"/>
              </w:rPr>
              <w:t xml:space="preserve">Bench </w:t>
            </w:r>
            <w:r w:rsidR="009D17BF">
              <w:rPr>
                <w:rFonts w:ascii="Arial" w:hAnsi="Arial" w:cs="Arial"/>
                <w:i/>
                <w:iCs/>
                <w:sz w:val="22"/>
                <w:szCs w:val="22"/>
              </w:rPr>
              <w:t>sub</w:t>
            </w:r>
            <w:r w:rsidRPr="00FA5930">
              <w:rPr>
                <w:rFonts w:ascii="Arial" w:hAnsi="Arial" w:cs="Arial"/>
                <w:i/>
                <w:iCs/>
                <w:sz w:val="22"/>
                <w:szCs w:val="22"/>
              </w:rPr>
              <w:t>rule 74.14(4), the lawyer retained by the personal representative of an estate must serve this form on the personal representative of the estate and those beneficiaries whose interests in the estate may be affected by the lawyer's fees or disbursements, no later than 60 days after the lawyer is retained by the personal representative.</w:t>
            </w:r>
          </w:p>
        </w:tc>
      </w:tr>
    </w:tbl>
    <w:p w:rsidR="00833158" w:rsidRPr="00FA5930" w:rsidRDefault="00833158" w:rsidP="00833158">
      <w:pPr>
        <w:rPr>
          <w:rFonts w:ascii="Arial" w:hAnsi="Arial" w:cs="Arial"/>
          <w:sz w:val="22"/>
          <w:szCs w:val="22"/>
        </w:rPr>
      </w:pPr>
    </w:p>
    <w:p w:rsidR="00833158" w:rsidRPr="00FA5930" w:rsidRDefault="005E7A65" w:rsidP="00833158">
      <w:pPr>
        <w:jc w:val="center"/>
        <w:rPr>
          <w:rFonts w:ascii="Arial" w:hAnsi="Arial" w:cs="Arial"/>
          <w:sz w:val="22"/>
          <w:szCs w:val="22"/>
        </w:rPr>
      </w:pPr>
      <w:r w:rsidRPr="00FA5930">
        <w:rPr>
          <w:rFonts w:ascii="Arial" w:hAnsi="Arial" w:cs="Arial"/>
          <w:sz w:val="22"/>
          <w:szCs w:val="22"/>
        </w:rPr>
        <w:fldChar w:fldCharType="begin"/>
      </w:r>
      <w:r w:rsidR="00833158"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833158" w:rsidRPr="00FA5930">
        <w:rPr>
          <w:rFonts w:ascii="Arial" w:hAnsi="Arial" w:cs="Arial"/>
          <w:b/>
          <w:bCs/>
          <w:sz w:val="22"/>
          <w:szCs w:val="22"/>
        </w:rPr>
        <w:t>PART A</w:t>
      </w:r>
    </w:p>
    <w:p w:rsidR="00833158" w:rsidRPr="00FA5930" w:rsidRDefault="00833158" w:rsidP="00833158">
      <w:pPr>
        <w:rPr>
          <w:rFonts w:ascii="Arial" w:hAnsi="Arial" w:cs="Arial"/>
          <w:sz w:val="22"/>
          <w:szCs w:val="22"/>
        </w:rPr>
      </w:pPr>
    </w:p>
    <w:p w:rsidR="00833158" w:rsidRPr="00FA5930" w:rsidRDefault="00833158" w:rsidP="00833158">
      <w:pPr>
        <w:jc w:val="center"/>
        <w:rPr>
          <w:rFonts w:ascii="Arial" w:hAnsi="Arial" w:cs="Arial"/>
          <w:sz w:val="22"/>
          <w:szCs w:val="22"/>
        </w:rPr>
      </w:pPr>
      <w:r w:rsidRPr="00FA5930">
        <w:rPr>
          <w:rFonts w:ascii="Arial" w:hAnsi="Arial" w:cs="Arial"/>
          <w:b/>
          <w:bCs/>
          <w:sz w:val="22"/>
          <w:szCs w:val="22"/>
        </w:rPr>
        <w:t>PERSONAL REPRESENTATIVE OF AN ESTATE</w:t>
      </w:r>
    </w:p>
    <w:p w:rsidR="00833158" w:rsidRPr="00FA5930" w:rsidRDefault="00833158" w:rsidP="00833158">
      <w:pPr>
        <w:rPr>
          <w:rFonts w:ascii="Arial" w:hAnsi="Arial" w:cs="Arial"/>
          <w:sz w:val="22"/>
          <w:szCs w:val="22"/>
        </w:rPr>
      </w:pPr>
    </w:p>
    <w:p w:rsidR="00833158" w:rsidRPr="00FA5930" w:rsidRDefault="00833158" w:rsidP="00833158">
      <w:pPr>
        <w:rPr>
          <w:rFonts w:ascii="Arial" w:hAnsi="Arial" w:cs="Arial"/>
          <w:sz w:val="22"/>
          <w:szCs w:val="22"/>
        </w:rPr>
      </w:pPr>
    </w:p>
    <w:p w:rsidR="00833158" w:rsidRPr="00FA5930" w:rsidRDefault="00191DD0" w:rsidP="00833158">
      <w:pPr>
        <w:rPr>
          <w:rFonts w:ascii="Arial" w:hAnsi="Arial" w:cs="Arial"/>
          <w:sz w:val="22"/>
          <w:szCs w:val="22"/>
        </w:rPr>
      </w:pPr>
      <w:r w:rsidRPr="00FA5930">
        <w:rPr>
          <w:rFonts w:ascii="Arial" w:hAnsi="Arial" w:cs="Arial"/>
          <w:b/>
          <w:bCs/>
          <w:sz w:val="22"/>
          <w:szCs w:val="22"/>
        </w:rPr>
        <w:t>1</w:t>
      </w:r>
      <w:r w:rsidRPr="00FA5930">
        <w:rPr>
          <w:rFonts w:ascii="Arial" w:hAnsi="Arial" w:cs="Arial"/>
          <w:b/>
          <w:bCs/>
          <w:sz w:val="22"/>
          <w:szCs w:val="22"/>
        </w:rPr>
        <w:tab/>
      </w:r>
      <w:r w:rsidR="00833158" w:rsidRPr="00FA5930">
        <w:rPr>
          <w:rFonts w:ascii="Arial" w:hAnsi="Arial" w:cs="Arial"/>
          <w:b/>
          <w:bCs/>
          <w:sz w:val="22"/>
          <w:szCs w:val="22"/>
        </w:rPr>
        <w:t>Role of the Personal Representative</w:t>
      </w:r>
    </w:p>
    <w:p w:rsidR="00833158" w:rsidRPr="00FA5930" w:rsidRDefault="00833158" w:rsidP="00833158">
      <w:pPr>
        <w:rPr>
          <w:rFonts w:ascii="Arial" w:hAnsi="Arial" w:cs="Arial"/>
          <w:sz w:val="22"/>
          <w:szCs w:val="22"/>
        </w:rPr>
      </w:pPr>
    </w:p>
    <w:p w:rsidR="00833158" w:rsidRPr="00FA5930" w:rsidRDefault="00833158" w:rsidP="00191DD0">
      <w:pPr>
        <w:jc w:val="both"/>
        <w:rPr>
          <w:rFonts w:ascii="Arial" w:hAnsi="Arial" w:cs="Arial"/>
          <w:sz w:val="22"/>
          <w:szCs w:val="22"/>
        </w:rPr>
      </w:pPr>
      <w:r w:rsidRPr="00FA5930">
        <w:rPr>
          <w:rFonts w:ascii="Arial" w:hAnsi="Arial" w:cs="Arial"/>
          <w:sz w:val="22"/>
          <w:szCs w:val="22"/>
        </w:rPr>
        <w:t>The property of a deceased person is placed in the hands of a trustee, known as a personal representative who</w:t>
      </w:r>
      <w:r w:rsidR="001C5272">
        <w:rPr>
          <w:rFonts w:ascii="Arial" w:hAnsi="Arial" w:cs="Arial"/>
          <w:sz w:val="22"/>
          <w:szCs w:val="22"/>
        </w:rPr>
        <w:t xml:space="preserve"> may also be called an executor (executrix) or administrator </w:t>
      </w:r>
      <w:r w:rsidRPr="00FA5930">
        <w:rPr>
          <w:rFonts w:ascii="Arial" w:hAnsi="Arial" w:cs="Arial"/>
          <w:sz w:val="22"/>
          <w:szCs w:val="22"/>
        </w:rPr>
        <w:t xml:space="preserve">(administratrix). The personal representative must collect the assets, pay the debts of the deceased and then distribute the assets of the estate to the beneficiaries in compliance with all applicable laws and the terms of any will of the deceased. A lawyer can be the personal representative of an estate. Further information about the role of the personal representative can be found in the </w:t>
      </w:r>
      <w:r w:rsidRPr="00FA5930">
        <w:rPr>
          <w:rFonts w:ascii="Arial" w:hAnsi="Arial" w:cs="Arial"/>
          <w:i/>
          <w:iCs/>
          <w:sz w:val="22"/>
          <w:szCs w:val="22"/>
        </w:rPr>
        <w:t>Revised</w:t>
      </w:r>
      <w:r w:rsidR="00371D9D" w:rsidRPr="00FA5930">
        <w:rPr>
          <w:rFonts w:ascii="Arial" w:hAnsi="Arial" w:cs="Arial"/>
          <w:i/>
          <w:iCs/>
          <w:sz w:val="22"/>
          <w:szCs w:val="22"/>
        </w:rPr>
        <w:t xml:space="preserve"> </w:t>
      </w:r>
      <w:r w:rsidRPr="00FA5930">
        <w:rPr>
          <w:rFonts w:ascii="Arial" w:hAnsi="Arial" w:cs="Arial"/>
          <w:i/>
          <w:iCs/>
          <w:sz w:val="22"/>
          <w:szCs w:val="22"/>
        </w:rPr>
        <w:t>Statement of Principles — Fees in Estate Matters</w:t>
      </w:r>
      <w:r w:rsidRPr="00FA5930">
        <w:rPr>
          <w:rFonts w:ascii="Arial" w:hAnsi="Arial" w:cs="Arial"/>
          <w:sz w:val="22"/>
          <w:szCs w:val="22"/>
        </w:rPr>
        <w:t xml:space="preserve"> approved by The Law Society of Manitoba which is available on the Law Society's website at www.lawsociety.mb.ca or by calling the Law Society at 204-942-5571.</w:t>
      </w:r>
    </w:p>
    <w:p w:rsidR="00833158" w:rsidRPr="00FA5930" w:rsidRDefault="00833158" w:rsidP="00833158">
      <w:pPr>
        <w:rPr>
          <w:rFonts w:ascii="Arial" w:hAnsi="Arial" w:cs="Arial"/>
          <w:sz w:val="22"/>
          <w:szCs w:val="22"/>
        </w:rPr>
      </w:pPr>
    </w:p>
    <w:p w:rsidR="00833158"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833158"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833158" w:rsidRPr="00FA5930">
        <w:rPr>
          <w:rFonts w:ascii="Arial" w:hAnsi="Arial" w:cs="Arial"/>
          <w:sz w:val="22"/>
          <w:szCs w:val="22"/>
        </w:rPr>
        <w:t>The actions of a personal representative may be subject to review by the court. Any person interested in the estate may, on reasonable grounds, require the personal representative to appear before the court to give an account of the handling of the estate.</w:t>
      </w:r>
    </w:p>
    <w:p w:rsidR="00833158" w:rsidRPr="00FA5930" w:rsidRDefault="00833158" w:rsidP="00833158">
      <w:pPr>
        <w:rPr>
          <w:rFonts w:ascii="Arial" w:hAnsi="Arial" w:cs="Arial"/>
          <w:sz w:val="22"/>
          <w:szCs w:val="22"/>
        </w:rPr>
      </w:pPr>
    </w:p>
    <w:p w:rsidR="005D38E3" w:rsidRPr="00FA5930" w:rsidRDefault="005D38E3" w:rsidP="00833158">
      <w:pPr>
        <w:rPr>
          <w:rFonts w:ascii="Arial" w:hAnsi="Arial" w:cs="Arial"/>
          <w:sz w:val="22"/>
          <w:szCs w:val="22"/>
        </w:rPr>
      </w:pPr>
    </w:p>
    <w:p w:rsidR="00833158" w:rsidRPr="00FA5930" w:rsidRDefault="005E7A65" w:rsidP="00833158">
      <w:pPr>
        <w:rPr>
          <w:rFonts w:ascii="Arial" w:hAnsi="Arial" w:cs="Arial"/>
          <w:sz w:val="22"/>
          <w:szCs w:val="22"/>
        </w:rPr>
      </w:pPr>
      <w:r w:rsidRPr="00FA5930">
        <w:rPr>
          <w:rFonts w:ascii="Arial" w:hAnsi="Arial" w:cs="Arial"/>
          <w:sz w:val="22"/>
          <w:szCs w:val="22"/>
        </w:rPr>
        <w:fldChar w:fldCharType="begin"/>
      </w:r>
      <w:r w:rsidR="00833158"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b/>
          <w:bCs/>
          <w:sz w:val="22"/>
          <w:szCs w:val="22"/>
        </w:rPr>
        <w:t>2</w:t>
      </w:r>
      <w:r w:rsidR="00191DD0" w:rsidRPr="00FA5930">
        <w:rPr>
          <w:rFonts w:ascii="Arial" w:hAnsi="Arial" w:cs="Arial"/>
          <w:b/>
          <w:bCs/>
          <w:sz w:val="22"/>
          <w:szCs w:val="22"/>
        </w:rPr>
        <w:tab/>
      </w:r>
      <w:r w:rsidR="00833158" w:rsidRPr="00FA5930">
        <w:rPr>
          <w:rFonts w:ascii="Arial" w:hAnsi="Arial" w:cs="Arial"/>
          <w:b/>
          <w:bCs/>
          <w:sz w:val="22"/>
          <w:szCs w:val="22"/>
        </w:rPr>
        <w:t>Compensation for Personal Representative</w:t>
      </w:r>
    </w:p>
    <w:p w:rsidR="00833158" w:rsidRPr="00FA5930" w:rsidRDefault="00833158" w:rsidP="00833158">
      <w:pPr>
        <w:rPr>
          <w:rFonts w:ascii="Arial" w:hAnsi="Arial" w:cs="Arial"/>
          <w:sz w:val="22"/>
          <w:szCs w:val="22"/>
        </w:rPr>
      </w:pPr>
    </w:p>
    <w:p w:rsidR="00833158" w:rsidRPr="00FA5930" w:rsidRDefault="00833158" w:rsidP="003C126C">
      <w:pPr>
        <w:jc w:val="both"/>
        <w:rPr>
          <w:rFonts w:ascii="Arial" w:hAnsi="Arial" w:cs="Arial"/>
          <w:sz w:val="22"/>
          <w:szCs w:val="22"/>
        </w:rPr>
      </w:pPr>
      <w:r w:rsidRPr="00FA5930">
        <w:rPr>
          <w:rFonts w:ascii="Arial" w:hAnsi="Arial" w:cs="Arial"/>
          <w:sz w:val="22"/>
          <w:szCs w:val="22"/>
        </w:rPr>
        <w:t>A personal representative is entitled to fair and reasonable compensation for their care, pains and trouble. The compensation is not a fixed amount or percentage but will vary according to the work done and the trouble and time expended. If all beneficiaries are adults and are satisfied with the work of the personal representative, they may agree on the amount of the compensation and sign releases when the estate work is completed and they have received their share of the estate.</w:t>
      </w:r>
    </w:p>
    <w:p w:rsidR="00833158" w:rsidRPr="00FA5930" w:rsidRDefault="00833158" w:rsidP="003C126C">
      <w:pPr>
        <w:jc w:val="both"/>
        <w:rPr>
          <w:rFonts w:ascii="Arial" w:hAnsi="Arial" w:cs="Arial"/>
          <w:sz w:val="22"/>
          <w:szCs w:val="22"/>
        </w:rPr>
      </w:pPr>
    </w:p>
    <w:p w:rsidR="00833158" w:rsidRPr="00FA5930" w:rsidRDefault="00833158" w:rsidP="003C126C">
      <w:pPr>
        <w:jc w:val="both"/>
        <w:rPr>
          <w:rFonts w:ascii="Arial" w:hAnsi="Arial" w:cs="Arial"/>
          <w:sz w:val="22"/>
          <w:szCs w:val="22"/>
        </w:rPr>
      </w:pPr>
      <w:r w:rsidRPr="00FA5930">
        <w:rPr>
          <w:rFonts w:ascii="Arial" w:hAnsi="Arial" w:cs="Arial"/>
          <w:sz w:val="22"/>
          <w:szCs w:val="22"/>
        </w:rPr>
        <w:t>A beneficiary who is not satisfied with how the estate was handled, or the amount of the compensation being claimed, has the right to request that the actions of the personal representative be reviewed by the court and to have the court set the personal representative's compensation.</w:t>
      </w:r>
    </w:p>
    <w:p w:rsidR="00833158" w:rsidRPr="00FA5930" w:rsidRDefault="00833158" w:rsidP="00833158">
      <w:pPr>
        <w:rPr>
          <w:rFonts w:ascii="Arial" w:hAnsi="Arial" w:cs="Arial"/>
          <w:sz w:val="22"/>
          <w:szCs w:val="22"/>
        </w:rPr>
      </w:pPr>
    </w:p>
    <w:p w:rsidR="00833158" w:rsidRPr="00FA5930" w:rsidRDefault="00833158" w:rsidP="00833158">
      <w:pPr>
        <w:rPr>
          <w:rFonts w:ascii="Arial" w:hAnsi="Arial" w:cs="Arial"/>
          <w:sz w:val="22"/>
          <w:szCs w:val="22"/>
        </w:rPr>
      </w:pPr>
    </w:p>
    <w:p w:rsidR="00833158" w:rsidRPr="00FA5930" w:rsidRDefault="00833158" w:rsidP="00833158">
      <w:pPr>
        <w:rPr>
          <w:rFonts w:ascii="Arial" w:hAnsi="Arial" w:cs="Arial"/>
          <w:sz w:val="22"/>
          <w:szCs w:val="22"/>
        </w:rPr>
      </w:pPr>
    </w:p>
    <w:p w:rsidR="003C126C" w:rsidRPr="00FA5930" w:rsidRDefault="003C126C">
      <w:pPr>
        <w:autoSpaceDE/>
        <w:autoSpaceDN/>
        <w:adjustRightInd/>
        <w:spacing w:after="200" w:line="276" w:lineRule="auto"/>
        <w:rPr>
          <w:rFonts w:ascii="Arial" w:hAnsi="Arial" w:cs="Arial"/>
          <w:sz w:val="22"/>
          <w:szCs w:val="22"/>
        </w:rPr>
      </w:pPr>
      <w:r w:rsidRPr="00FA5930">
        <w:rPr>
          <w:rFonts w:ascii="Arial" w:hAnsi="Arial" w:cs="Arial"/>
          <w:sz w:val="22"/>
          <w:szCs w:val="22"/>
        </w:rPr>
        <w:br w:type="page"/>
      </w:r>
    </w:p>
    <w:p w:rsidR="00191DD0" w:rsidRPr="00FA5930" w:rsidRDefault="005E7A65" w:rsidP="00191DD0">
      <w:pPr>
        <w:jc w:val="center"/>
        <w:rPr>
          <w:rFonts w:ascii="Arial" w:hAnsi="Arial" w:cs="Arial"/>
          <w:sz w:val="22"/>
          <w:szCs w:val="22"/>
        </w:rPr>
      </w:pPr>
      <w:r w:rsidRPr="00FA5930">
        <w:rPr>
          <w:rFonts w:ascii="Arial" w:hAnsi="Arial" w:cs="Arial"/>
          <w:sz w:val="22"/>
          <w:szCs w:val="22"/>
        </w:rPr>
        <w:lastRenderedPageBreak/>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b/>
          <w:bCs/>
          <w:sz w:val="22"/>
          <w:szCs w:val="22"/>
        </w:rPr>
        <w:t>PART B</w:t>
      </w:r>
    </w:p>
    <w:p w:rsidR="00191DD0" w:rsidRPr="00FA5930" w:rsidRDefault="00191DD0" w:rsidP="00191DD0">
      <w:pPr>
        <w:rPr>
          <w:rFonts w:ascii="Arial" w:hAnsi="Arial" w:cs="Arial"/>
          <w:sz w:val="22"/>
          <w:szCs w:val="22"/>
        </w:rPr>
      </w:pPr>
    </w:p>
    <w:p w:rsidR="00191DD0" w:rsidRPr="00FA5930" w:rsidRDefault="00191DD0" w:rsidP="00191DD0">
      <w:pPr>
        <w:jc w:val="center"/>
        <w:rPr>
          <w:rFonts w:ascii="Arial" w:hAnsi="Arial" w:cs="Arial"/>
          <w:sz w:val="22"/>
          <w:szCs w:val="22"/>
        </w:rPr>
      </w:pPr>
      <w:r w:rsidRPr="00FA5930">
        <w:rPr>
          <w:rFonts w:ascii="Arial" w:hAnsi="Arial" w:cs="Arial"/>
          <w:b/>
          <w:bCs/>
          <w:sz w:val="22"/>
          <w:szCs w:val="22"/>
        </w:rPr>
        <w:t>LAWYER FOR THE PERSONAL REPRESENTATIVE</w:t>
      </w:r>
    </w:p>
    <w:p w:rsidR="00191DD0" w:rsidRPr="00FA5930" w:rsidRDefault="00191DD0" w:rsidP="00191DD0">
      <w:pPr>
        <w:rPr>
          <w:rFonts w:ascii="Arial" w:hAnsi="Arial" w:cs="Arial"/>
          <w:sz w:val="22"/>
          <w:szCs w:val="22"/>
        </w:rPr>
      </w:pPr>
    </w:p>
    <w:p w:rsidR="00191DD0" w:rsidRPr="00FA5930" w:rsidRDefault="00191DD0" w:rsidP="00191DD0">
      <w:pPr>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b/>
          <w:bCs/>
          <w:sz w:val="22"/>
          <w:szCs w:val="22"/>
        </w:rPr>
        <w:t>1</w:t>
      </w:r>
      <w:r w:rsidRPr="00FA5930">
        <w:rPr>
          <w:rFonts w:ascii="Arial" w:hAnsi="Arial" w:cs="Arial"/>
          <w:b/>
          <w:bCs/>
          <w:sz w:val="22"/>
          <w:szCs w:val="22"/>
        </w:rPr>
        <w:tab/>
        <w:t>Role of the Lawyer for the Personal Representative</w:t>
      </w:r>
    </w:p>
    <w:p w:rsidR="00191DD0" w:rsidRDefault="00191DD0" w:rsidP="003C126C">
      <w:pPr>
        <w:jc w:val="both"/>
        <w:rPr>
          <w:rFonts w:ascii="Arial" w:hAnsi="Arial" w:cs="Arial"/>
          <w:sz w:val="22"/>
          <w:szCs w:val="22"/>
        </w:rPr>
      </w:pPr>
    </w:p>
    <w:p w:rsidR="005D38E3" w:rsidRPr="00FA5930" w:rsidRDefault="00191DD0" w:rsidP="003C126C">
      <w:pPr>
        <w:jc w:val="both"/>
        <w:rPr>
          <w:rFonts w:ascii="Arial" w:hAnsi="Arial" w:cs="Arial"/>
          <w:sz w:val="22"/>
          <w:szCs w:val="22"/>
        </w:rPr>
      </w:pPr>
      <w:r w:rsidRPr="00FA5930">
        <w:rPr>
          <w:rFonts w:ascii="Arial" w:hAnsi="Arial" w:cs="Arial"/>
          <w:sz w:val="22"/>
          <w:szCs w:val="22"/>
        </w:rPr>
        <w:t xml:space="preserve">A personal representative is permitted to retain a lawyer to provide legal advice to assist with the completion of the duties imposed on a personal representative by law. </w:t>
      </w:r>
      <w:r w:rsidR="00160EF7" w:rsidRPr="00DA11D5">
        <w:rPr>
          <w:rFonts w:ascii="Arial" w:hAnsi="Arial" w:cs="Arial"/>
          <w:sz w:val="22"/>
          <w:szCs w:val="22"/>
        </w:rPr>
        <w:t>King’s</w:t>
      </w:r>
      <w:r w:rsidR="00160EF7">
        <w:rPr>
          <w:rFonts w:ascii="Arial" w:hAnsi="Arial" w:cs="Arial"/>
          <w:sz w:val="22"/>
          <w:szCs w:val="22"/>
        </w:rPr>
        <w:t xml:space="preserve"> </w:t>
      </w:r>
      <w:r w:rsidRPr="00FA5930">
        <w:rPr>
          <w:rFonts w:ascii="Arial" w:hAnsi="Arial" w:cs="Arial"/>
          <w:sz w:val="22"/>
          <w:szCs w:val="22"/>
        </w:rPr>
        <w:t xml:space="preserve">Bench rule 74.14 sets out the services that are generally provided by the lawyer retained by the personal representative for an estate of average complexity. The </w:t>
      </w:r>
      <w:r w:rsidR="00160EF7" w:rsidRPr="00DA11D5">
        <w:rPr>
          <w:rFonts w:ascii="Arial" w:hAnsi="Arial" w:cs="Arial"/>
          <w:i/>
          <w:iCs/>
          <w:sz w:val="22"/>
          <w:szCs w:val="22"/>
        </w:rPr>
        <w:t>King’s</w:t>
      </w:r>
      <w:r w:rsidR="00160EF7">
        <w:rPr>
          <w:rFonts w:ascii="Arial" w:hAnsi="Arial" w:cs="Arial"/>
          <w:i/>
          <w:iCs/>
          <w:sz w:val="22"/>
          <w:szCs w:val="22"/>
        </w:rPr>
        <w:t xml:space="preserve"> </w:t>
      </w:r>
      <w:r w:rsidRPr="00FA5930">
        <w:rPr>
          <w:rFonts w:ascii="Arial" w:hAnsi="Arial" w:cs="Arial"/>
          <w:i/>
          <w:iCs/>
          <w:sz w:val="22"/>
          <w:szCs w:val="22"/>
        </w:rPr>
        <w:t>Bench Rules</w:t>
      </w:r>
      <w:r w:rsidRPr="00FA5930">
        <w:rPr>
          <w:rFonts w:ascii="Arial" w:hAnsi="Arial" w:cs="Arial"/>
          <w:sz w:val="22"/>
          <w:szCs w:val="22"/>
        </w:rPr>
        <w:t xml:space="preserve"> are posted on the Manitoba Laws website at </w:t>
      </w:r>
      <w:r w:rsidRPr="00DA11D5">
        <w:rPr>
          <w:rFonts w:ascii="Arial" w:hAnsi="Arial" w:cs="Arial"/>
          <w:sz w:val="22"/>
          <w:szCs w:val="22"/>
        </w:rPr>
        <w:t>web2.gov.mb.ca/laws/rules/</w:t>
      </w:r>
      <w:r w:rsidR="00DA11D5" w:rsidRPr="00DA11D5">
        <w:rPr>
          <w:rFonts w:ascii="Arial" w:hAnsi="Arial" w:cs="Arial"/>
          <w:sz w:val="22"/>
          <w:szCs w:val="22"/>
        </w:rPr>
        <w:t>k</w:t>
      </w:r>
      <w:r w:rsidRPr="00DA11D5">
        <w:rPr>
          <w:rFonts w:ascii="Arial" w:hAnsi="Arial" w:cs="Arial"/>
          <w:sz w:val="22"/>
          <w:szCs w:val="22"/>
        </w:rPr>
        <w:t>br1e.php.</w:t>
      </w:r>
    </w:p>
    <w:p w:rsidR="00622E70" w:rsidRDefault="00622E70" w:rsidP="003C126C">
      <w:pPr>
        <w:jc w:val="both"/>
        <w:rPr>
          <w:rFonts w:ascii="Arial" w:hAnsi="Arial" w:cs="Arial"/>
          <w:sz w:val="22"/>
          <w:szCs w:val="22"/>
        </w:rPr>
      </w:pPr>
    </w:p>
    <w:p w:rsidR="00191DD0"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p>
    <w:p w:rsidR="00191DD0" w:rsidRPr="00FA5930" w:rsidRDefault="00191DD0" w:rsidP="003C126C">
      <w:pPr>
        <w:jc w:val="both"/>
        <w:rPr>
          <w:rFonts w:ascii="Arial" w:hAnsi="Arial" w:cs="Arial"/>
          <w:sz w:val="22"/>
          <w:szCs w:val="22"/>
        </w:rPr>
      </w:pPr>
      <w:r w:rsidRPr="00FA5930">
        <w:rPr>
          <w:rFonts w:ascii="Arial" w:hAnsi="Arial" w:cs="Arial"/>
          <w:b/>
          <w:bCs/>
          <w:sz w:val="22"/>
          <w:szCs w:val="22"/>
        </w:rPr>
        <w:t>2</w:t>
      </w:r>
      <w:r w:rsidRPr="00FA5930">
        <w:rPr>
          <w:rFonts w:ascii="Arial" w:hAnsi="Arial" w:cs="Arial"/>
          <w:b/>
          <w:bCs/>
          <w:sz w:val="22"/>
          <w:szCs w:val="22"/>
        </w:rPr>
        <w:tab/>
        <w:t>Fees and Disbursements of the Lawyer for the Personal Representative</w:t>
      </w: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The fees and disbursements for the personal representative are paid out of the estate and the amount is governed by the</w:t>
      </w:r>
      <w:r w:rsidR="00160EF7" w:rsidRPr="00DA11D5">
        <w:rPr>
          <w:rFonts w:ascii="Arial" w:hAnsi="Arial" w:cs="Arial"/>
          <w:i/>
          <w:iCs/>
          <w:sz w:val="22"/>
          <w:szCs w:val="22"/>
        </w:rPr>
        <w:t xml:space="preserve"> King’s</w:t>
      </w:r>
      <w:r w:rsidRPr="00FA5930">
        <w:rPr>
          <w:rFonts w:ascii="Arial" w:hAnsi="Arial" w:cs="Arial"/>
          <w:i/>
          <w:iCs/>
          <w:sz w:val="22"/>
          <w:szCs w:val="22"/>
        </w:rPr>
        <w:t xml:space="preserve"> Bench Rules</w:t>
      </w:r>
      <w:r w:rsidRPr="00FA5930">
        <w:rPr>
          <w:rFonts w:ascii="Arial" w:hAnsi="Arial" w:cs="Arial"/>
          <w:sz w:val="22"/>
          <w:szCs w:val="22"/>
        </w:rPr>
        <w:t>, particularly rule 74.14.</w:t>
      </w: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It should be understood that the lawyer retained by the personal representative acts only as the lawyer for the personal representative and not the beneficiaries. In the event of any dispute, a beneficiary is free to obtain independent legal advice from another lawyer.</w:t>
      </w:r>
    </w:p>
    <w:p w:rsidR="00A8205E" w:rsidRPr="00FA5930" w:rsidRDefault="00A8205E" w:rsidP="00191DD0">
      <w:pPr>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The fees of the lawyer for the personal representative must be fair and reasonable and disclosed in a timely manner. In assessing if the fees are fair and reasonable, the court looks at the services provided by the lawyer to the personal representative and the results achieved.</w:t>
      </w:r>
    </w:p>
    <w:p w:rsidR="00191DD0" w:rsidRPr="00FA5930" w:rsidRDefault="00191DD0" w:rsidP="003C126C">
      <w:pPr>
        <w:jc w:val="both"/>
        <w:rPr>
          <w:rFonts w:ascii="Arial" w:hAnsi="Arial" w:cs="Arial"/>
          <w:sz w:val="22"/>
          <w:szCs w:val="22"/>
        </w:rPr>
      </w:pPr>
    </w:p>
    <w:p w:rsidR="00191DD0"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sz w:val="22"/>
          <w:szCs w:val="22"/>
        </w:rPr>
        <w:t xml:space="preserve">Basic legal fees are calculated as a percentage of the total value of the estate assets that are under probate or administration and are intended to cover the work involved in estates of average complexity. These services are listed </w:t>
      </w:r>
      <w:r w:rsidR="00191DD0" w:rsidRPr="00160EF7">
        <w:rPr>
          <w:rFonts w:ascii="Arial" w:hAnsi="Arial" w:cs="Arial"/>
          <w:sz w:val="22"/>
          <w:szCs w:val="22"/>
        </w:rPr>
        <w:t xml:space="preserve">in </w:t>
      </w:r>
      <w:r w:rsidR="00160EF7" w:rsidRPr="00DA11D5">
        <w:rPr>
          <w:rFonts w:ascii="Arial" w:hAnsi="Arial" w:cs="Arial"/>
          <w:iCs/>
          <w:sz w:val="22"/>
          <w:szCs w:val="22"/>
        </w:rPr>
        <w:t>King’s</w:t>
      </w:r>
      <w:r w:rsidR="00191DD0" w:rsidRPr="00FA5930">
        <w:rPr>
          <w:rFonts w:ascii="Arial" w:hAnsi="Arial" w:cs="Arial"/>
          <w:sz w:val="22"/>
          <w:szCs w:val="22"/>
        </w:rPr>
        <w:t xml:space="preserve"> Bench </w:t>
      </w:r>
      <w:r w:rsidR="009D17BF">
        <w:rPr>
          <w:rFonts w:ascii="Arial" w:hAnsi="Arial" w:cs="Arial"/>
          <w:sz w:val="22"/>
          <w:szCs w:val="22"/>
        </w:rPr>
        <w:t>sub</w:t>
      </w:r>
      <w:r w:rsidR="00191DD0" w:rsidRPr="00FA5930">
        <w:rPr>
          <w:rFonts w:ascii="Arial" w:hAnsi="Arial" w:cs="Arial"/>
          <w:sz w:val="22"/>
          <w:szCs w:val="22"/>
        </w:rPr>
        <w:t>rule 74.14(8). To determine the total value of the estate, the following assets are not included:</w:t>
      </w:r>
    </w:p>
    <w:p w:rsidR="00191DD0" w:rsidRPr="00FA5930" w:rsidRDefault="00191DD0" w:rsidP="003C126C">
      <w:pPr>
        <w:jc w:val="both"/>
        <w:rPr>
          <w:rFonts w:ascii="Arial" w:hAnsi="Arial" w:cs="Arial"/>
          <w:sz w:val="22"/>
          <w:szCs w:val="22"/>
        </w:rPr>
      </w:pPr>
    </w:p>
    <w:p w:rsidR="00191DD0" w:rsidRPr="00FA5930" w:rsidRDefault="00191DD0" w:rsidP="003C126C">
      <w:pPr>
        <w:ind w:left="360"/>
        <w:jc w:val="both"/>
        <w:rPr>
          <w:rFonts w:ascii="Arial" w:hAnsi="Arial" w:cs="Arial"/>
          <w:sz w:val="22"/>
          <w:szCs w:val="22"/>
        </w:rPr>
      </w:pPr>
      <w:r w:rsidRPr="00FA5930">
        <w:rPr>
          <w:rFonts w:ascii="Arial" w:hAnsi="Arial" w:cs="Arial"/>
          <w:sz w:val="22"/>
          <w:szCs w:val="22"/>
        </w:rPr>
        <w:t>(a)</w:t>
      </w:r>
      <w:r w:rsidR="003C126C" w:rsidRPr="00FA5930">
        <w:rPr>
          <w:rFonts w:ascii="Arial" w:hAnsi="Arial" w:cs="Arial"/>
          <w:sz w:val="22"/>
          <w:szCs w:val="22"/>
        </w:rPr>
        <w:t> </w:t>
      </w:r>
      <w:r w:rsidRPr="00FA5930">
        <w:rPr>
          <w:rFonts w:ascii="Arial" w:hAnsi="Arial" w:cs="Arial"/>
          <w:sz w:val="22"/>
          <w:szCs w:val="22"/>
        </w:rPr>
        <w:t xml:space="preserve">gifts made by the deceased during </w:t>
      </w:r>
      <w:r w:rsidR="000E42BB" w:rsidRPr="00FA5930">
        <w:rPr>
          <w:rFonts w:ascii="Arial" w:hAnsi="Arial" w:cs="Arial"/>
          <w:sz w:val="22"/>
          <w:szCs w:val="22"/>
        </w:rPr>
        <w:t>their</w:t>
      </w:r>
      <w:r w:rsidRPr="00FA5930">
        <w:rPr>
          <w:rFonts w:ascii="Arial" w:hAnsi="Arial" w:cs="Arial"/>
          <w:sz w:val="22"/>
          <w:szCs w:val="22"/>
        </w:rPr>
        <w:t xml:space="preserve"> lifetime;</w:t>
      </w:r>
    </w:p>
    <w:p w:rsidR="00191DD0" w:rsidRPr="00FA5930" w:rsidRDefault="00191DD0" w:rsidP="003C126C">
      <w:pPr>
        <w:jc w:val="both"/>
        <w:rPr>
          <w:rFonts w:ascii="Arial" w:hAnsi="Arial" w:cs="Arial"/>
          <w:sz w:val="22"/>
          <w:szCs w:val="22"/>
        </w:rPr>
      </w:pPr>
    </w:p>
    <w:p w:rsidR="00191DD0" w:rsidRPr="00FA5930" w:rsidRDefault="00191DD0" w:rsidP="003C126C">
      <w:pPr>
        <w:ind w:left="360"/>
        <w:jc w:val="both"/>
        <w:rPr>
          <w:rFonts w:ascii="Arial" w:hAnsi="Arial" w:cs="Arial"/>
          <w:sz w:val="22"/>
          <w:szCs w:val="22"/>
        </w:rPr>
      </w:pPr>
      <w:r w:rsidRPr="00FA5930">
        <w:rPr>
          <w:rFonts w:ascii="Arial" w:hAnsi="Arial" w:cs="Arial"/>
          <w:sz w:val="22"/>
          <w:szCs w:val="22"/>
        </w:rPr>
        <w:t>(b</w:t>
      </w:r>
      <w:r w:rsidR="003C126C" w:rsidRPr="00FA5930">
        <w:rPr>
          <w:rFonts w:ascii="Arial" w:hAnsi="Arial" w:cs="Arial"/>
          <w:sz w:val="22"/>
          <w:szCs w:val="22"/>
        </w:rPr>
        <w:t>) </w:t>
      </w:r>
      <w:r w:rsidRPr="00FA5930">
        <w:rPr>
          <w:rFonts w:ascii="Arial" w:hAnsi="Arial" w:cs="Arial"/>
          <w:sz w:val="22"/>
          <w:szCs w:val="22"/>
        </w:rPr>
        <w:t>insurance, annuities and pensions not payable to the estate;</w:t>
      </w:r>
    </w:p>
    <w:p w:rsidR="00191DD0" w:rsidRPr="00FA5930" w:rsidRDefault="00191DD0" w:rsidP="003C126C">
      <w:pPr>
        <w:jc w:val="both"/>
        <w:rPr>
          <w:rFonts w:ascii="Arial" w:hAnsi="Arial" w:cs="Arial"/>
          <w:sz w:val="22"/>
          <w:szCs w:val="22"/>
        </w:rPr>
      </w:pPr>
    </w:p>
    <w:p w:rsidR="00191DD0" w:rsidRPr="00FA5930" w:rsidRDefault="00191DD0" w:rsidP="003C126C">
      <w:pPr>
        <w:ind w:left="360"/>
        <w:jc w:val="both"/>
        <w:rPr>
          <w:rFonts w:ascii="Arial" w:hAnsi="Arial" w:cs="Arial"/>
          <w:sz w:val="22"/>
          <w:szCs w:val="22"/>
        </w:rPr>
      </w:pPr>
      <w:r w:rsidRPr="00FA5930">
        <w:rPr>
          <w:rFonts w:ascii="Arial" w:hAnsi="Arial" w:cs="Arial"/>
          <w:sz w:val="22"/>
          <w:szCs w:val="22"/>
        </w:rPr>
        <w:t>(c</w:t>
      </w:r>
      <w:r w:rsidR="003C126C" w:rsidRPr="00FA5930">
        <w:rPr>
          <w:rFonts w:ascii="Arial" w:hAnsi="Arial" w:cs="Arial"/>
          <w:sz w:val="22"/>
          <w:szCs w:val="22"/>
        </w:rPr>
        <w:t>) </w:t>
      </w:r>
      <w:r w:rsidRPr="00FA5930">
        <w:rPr>
          <w:rFonts w:ascii="Arial" w:hAnsi="Arial" w:cs="Arial"/>
          <w:sz w:val="22"/>
          <w:szCs w:val="22"/>
        </w:rPr>
        <w:t>property held in joint tenancy where the beneficial interest is intended to pass by right of survivorship;</w:t>
      </w:r>
    </w:p>
    <w:p w:rsidR="00191DD0" w:rsidRPr="00FA5930" w:rsidRDefault="00191DD0" w:rsidP="003C126C">
      <w:pPr>
        <w:jc w:val="both"/>
        <w:rPr>
          <w:rFonts w:ascii="Arial" w:hAnsi="Arial" w:cs="Arial"/>
          <w:sz w:val="22"/>
          <w:szCs w:val="22"/>
        </w:rPr>
      </w:pPr>
    </w:p>
    <w:p w:rsidR="00191DD0" w:rsidRPr="00FA5930" w:rsidRDefault="00191DD0" w:rsidP="003C126C">
      <w:pPr>
        <w:ind w:left="360"/>
        <w:jc w:val="both"/>
        <w:rPr>
          <w:rFonts w:ascii="Arial" w:hAnsi="Arial" w:cs="Arial"/>
          <w:sz w:val="22"/>
          <w:szCs w:val="22"/>
        </w:rPr>
      </w:pPr>
      <w:r w:rsidRPr="00FA5930">
        <w:rPr>
          <w:rFonts w:ascii="Arial" w:hAnsi="Arial" w:cs="Arial"/>
          <w:sz w:val="22"/>
          <w:szCs w:val="22"/>
        </w:rPr>
        <w:t>(d</w:t>
      </w:r>
      <w:r w:rsidR="003C126C" w:rsidRPr="00FA5930">
        <w:rPr>
          <w:rFonts w:ascii="Arial" w:hAnsi="Arial" w:cs="Arial"/>
          <w:sz w:val="22"/>
          <w:szCs w:val="22"/>
        </w:rPr>
        <w:t>) </w:t>
      </w:r>
      <w:r w:rsidRPr="00FA5930">
        <w:rPr>
          <w:rFonts w:ascii="Arial" w:hAnsi="Arial" w:cs="Arial"/>
          <w:sz w:val="22"/>
          <w:szCs w:val="22"/>
        </w:rPr>
        <w:t xml:space="preserve">the death benefit under the </w:t>
      </w:r>
      <w:r w:rsidRPr="00FA5930">
        <w:rPr>
          <w:rFonts w:ascii="Arial" w:hAnsi="Arial" w:cs="Arial"/>
          <w:i/>
          <w:iCs/>
          <w:sz w:val="22"/>
          <w:szCs w:val="22"/>
        </w:rPr>
        <w:t>Canada Pension Plan</w:t>
      </w:r>
      <w:r w:rsidRPr="00FA5930">
        <w:rPr>
          <w:rFonts w:ascii="Arial" w:hAnsi="Arial" w:cs="Arial"/>
          <w:sz w:val="22"/>
          <w:szCs w:val="22"/>
        </w:rPr>
        <w:t>.</w:t>
      </w: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The basic legal fees (allowable fees) for the lawyer for the personal representative for an estate of average complexity are calculated as follows:</w:t>
      </w:r>
    </w:p>
    <w:p w:rsidR="00191DD0" w:rsidRPr="00FA5930" w:rsidRDefault="00191DD0" w:rsidP="003C126C">
      <w:pPr>
        <w:jc w:val="both"/>
        <w:rPr>
          <w:rFonts w:ascii="Arial" w:hAnsi="Arial" w:cs="Arial"/>
          <w:sz w:val="22"/>
          <w:szCs w:val="22"/>
        </w:rPr>
      </w:pPr>
    </w:p>
    <w:p w:rsidR="00191DD0" w:rsidRPr="00FA5930" w:rsidRDefault="00191DD0" w:rsidP="003C126C">
      <w:pPr>
        <w:pStyle w:val="Level1"/>
        <w:numPr>
          <w:ilvl w:val="0"/>
          <w:numId w:val="4"/>
        </w:numPr>
        <w:ind w:left="820" w:hanging="460"/>
        <w:jc w:val="both"/>
        <w:rPr>
          <w:rFonts w:ascii="Arial" w:hAnsi="Arial" w:cs="Arial"/>
          <w:sz w:val="22"/>
          <w:szCs w:val="22"/>
        </w:rPr>
      </w:pPr>
      <w:r w:rsidRPr="00FA5930">
        <w:rPr>
          <w:rFonts w:ascii="Arial" w:hAnsi="Arial" w:cs="Arial"/>
          <w:sz w:val="22"/>
          <w:szCs w:val="22"/>
        </w:rPr>
        <w:t>3% on the first $100,000, or the portion of that amount, of the total value of the estate, subject to a minimum fee of $1,500;</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pStyle w:val="Level1"/>
        <w:numPr>
          <w:ilvl w:val="0"/>
          <w:numId w:val="4"/>
        </w:numPr>
        <w:ind w:left="820" w:hanging="460"/>
        <w:jc w:val="both"/>
        <w:rPr>
          <w:rFonts w:ascii="Arial" w:hAnsi="Arial" w:cs="Arial"/>
          <w:sz w:val="22"/>
          <w:szCs w:val="22"/>
        </w:rPr>
      </w:pPr>
      <w:r w:rsidRPr="00FA5930">
        <w:rPr>
          <w:rFonts w:ascii="Arial" w:hAnsi="Arial" w:cs="Arial"/>
          <w:sz w:val="22"/>
          <w:szCs w:val="22"/>
        </w:rPr>
        <w:t>1.25% on the next $400,000, or the portion of that amount, of the total value of the estate;</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pStyle w:val="Level1"/>
        <w:numPr>
          <w:ilvl w:val="0"/>
          <w:numId w:val="4"/>
        </w:numPr>
        <w:ind w:left="820" w:hanging="460"/>
        <w:jc w:val="both"/>
        <w:rPr>
          <w:rFonts w:ascii="Arial" w:hAnsi="Arial" w:cs="Arial"/>
          <w:sz w:val="22"/>
          <w:szCs w:val="22"/>
        </w:rPr>
      </w:pPr>
      <w:r w:rsidRPr="00FA5930">
        <w:rPr>
          <w:rFonts w:ascii="Arial" w:hAnsi="Arial" w:cs="Arial"/>
          <w:sz w:val="22"/>
          <w:szCs w:val="22"/>
        </w:rPr>
        <w:t>1% on the next $500,000, or the portion of that amount, of the total value of the estate;</w:t>
      </w:r>
    </w:p>
    <w:p w:rsidR="00191DD0" w:rsidRPr="00FA5930" w:rsidRDefault="00191DD0" w:rsidP="0056689A">
      <w:pPr>
        <w:pStyle w:val="Level1"/>
        <w:ind w:left="0"/>
        <w:jc w:val="both"/>
        <w:rPr>
          <w:rFonts w:ascii="Arial" w:hAnsi="Arial" w:cs="Arial"/>
          <w:sz w:val="22"/>
          <w:szCs w:val="22"/>
        </w:rPr>
      </w:pPr>
    </w:p>
    <w:p w:rsidR="00191DD0" w:rsidRPr="00FA5930" w:rsidRDefault="00191DD0" w:rsidP="003C126C">
      <w:pPr>
        <w:pStyle w:val="Level1"/>
        <w:numPr>
          <w:ilvl w:val="0"/>
          <w:numId w:val="4"/>
        </w:numPr>
        <w:ind w:left="820" w:hanging="460"/>
        <w:jc w:val="both"/>
        <w:rPr>
          <w:rFonts w:ascii="Arial" w:hAnsi="Arial" w:cs="Arial"/>
          <w:sz w:val="22"/>
          <w:szCs w:val="22"/>
        </w:rPr>
      </w:pPr>
      <w:r w:rsidRPr="00FA5930">
        <w:rPr>
          <w:rFonts w:ascii="Arial" w:hAnsi="Arial" w:cs="Arial"/>
          <w:sz w:val="22"/>
          <w:szCs w:val="22"/>
        </w:rPr>
        <w:t>0.5% on the total value of the estate over $1,000,000.</w:t>
      </w:r>
    </w:p>
    <w:p w:rsidR="00191DD0" w:rsidRPr="00FA5930" w:rsidRDefault="00191DD0" w:rsidP="003C126C">
      <w:pPr>
        <w:numPr>
          <w:ilvl w:val="12"/>
          <w:numId w:val="0"/>
        </w:numPr>
        <w:jc w:val="both"/>
        <w:rPr>
          <w:rFonts w:ascii="Arial" w:hAnsi="Arial" w:cs="Arial"/>
          <w:sz w:val="22"/>
          <w:szCs w:val="22"/>
        </w:rPr>
      </w:pPr>
    </w:p>
    <w:p w:rsidR="007D3D45" w:rsidRPr="00FA5930" w:rsidRDefault="007D3D45">
      <w:pPr>
        <w:autoSpaceDE/>
        <w:autoSpaceDN/>
        <w:adjustRightInd/>
        <w:spacing w:after="200" w:line="276" w:lineRule="auto"/>
        <w:rPr>
          <w:rFonts w:ascii="Arial" w:hAnsi="Arial" w:cs="Arial"/>
          <w:sz w:val="22"/>
          <w:szCs w:val="22"/>
        </w:rPr>
      </w:pPr>
      <w:r w:rsidRPr="00FA5930">
        <w:rPr>
          <w:rFonts w:ascii="Arial" w:hAnsi="Arial" w:cs="Arial"/>
          <w:sz w:val="22"/>
          <w:szCs w:val="22"/>
        </w:rPr>
        <w:br w:type="page"/>
      </w:r>
    </w:p>
    <w:p w:rsidR="00191DD0" w:rsidRPr="00FA5930" w:rsidRDefault="00191DD0" w:rsidP="003C126C">
      <w:pPr>
        <w:numPr>
          <w:ilvl w:val="12"/>
          <w:numId w:val="0"/>
        </w:numPr>
        <w:jc w:val="both"/>
        <w:rPr>
          <w:rFonts w:ascii="Arial" w:hAnsi="Arial" w:cs="Arial"/>
          <w:sz w:val="22"/>
          <w:szCs w:val="22"/>
        </w:rPr>
      </w:pPr>
      <w:r w:rsidRPr="00FA5930">
        <w:rPr>
          <w:rFonts w:ascii="Arial" w:hAnsi="Arial" w:cs="Arial"/>
          <w:sz w:val="22"/>
          <w:szCs w:val="22"/>
        </w:rPr>
        <w:lastRenderedPageBreak/>
        <w:t>However, if the personal representative is</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(a</w:t>
      </w:r>
      <w:r w:rsidR="003C126C" w:rsidRPr="00FA5930">
        <w:rPr>
          <w:rFonts w:ascii="Arial" w:hAnsi="Arial" w:cs="Arial"/>
          <w:sz w:val="22"/>
          <w:szCs w:val="22"/>
        </w:rPr>
        <w:t>) </w:t>
      </w:r>
      <w:r w:rsidRPr="00FA5930">
        <w:rPr>
          <w:rFonts w:ascii="Arial" w:hAnsi="Arial" w:cs="Arial"/>
          <w:sz w:val="22"/>
          <w:szCs w:val="22"/>
        </w:rPr>
        <w:t>an individual who is a lawyer and, while acting as the personal representative, also acts as the lawyer for the personal representative; or</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(b</w:t>
      </w:r>
      <w:r w:rsidR="003C126C" w:rsidRPr="00FA5930">
        <w:rPr>
          <w:rFonts w:ascii="Arial" w:hAnsi="Arial" w:cs="Arial"/>
          <w:sz w:val="22"/>
          <w:szCs w:val="22"/>
        </w:rPr>
        <w:t>) </w:t>
      </w:r>
      <w:r w:rsidRPr="00FA5930">
        <w:rPr>
          <w:rFonts w:ascii="Arial" w:hAnsi="Arial" w:cs="Arial"/>
          <w:sz w:val="22"/>
          <w:szCs w:val="22"/>
        </w:rPr>
        <w:t>a trust company; or</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(c</w:t>
      </w:r>
      <w:r w:rsidR="003C126C" w:rsidRPr="00FA5930">
        <w:rPr>
          <w:rFonts w:ascii="Arial" w:hAnsi="Arial" w:cs="Arial"/>
          <w:sz w:val="22"/>
          <w:szCs w:val="22"/>
        </w:rPr>
        <w:t>) </w:t>
      </w:r>
      <w:r w:rsidRPr="00FA5930">
        <w:rPr>
          <w:rFonts w:ascii="Arial" w:hAnsi="Arial" w:cs="Arial"/>
          <w:sz w:val="22"/>
          <w:szCs w:val="22"/>
        </w:rPr>
        <w:t>the Public Guardian and Trustee;</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numPr>
          <w:ilvl w:val="12"/>
          <w:numId w:val="0"/>
        </w:numPr>
        <w:jc w:val="both"/>
        <w:rPr>
          <w:rFonts w:ascii="Arial" w:hAnsi="Arial" w:cs="Arial"/>
          <w:sz w:val="22"/>
          <w:szCs w:val="22"/>
        </w:rPr>
      </w:pPr>
      <w:r w:rsidRPr="00FA5930">
        <w:rPr>
          <w:rFonts w:ascii="Arial" w:hAnsi="Arial" w:cs="Arial"/>
          <w:sz w:val="22"/>
          <w:szCs w:val="22"/>
        </w:rPr>
        <w:t>the lawyer performing the legal services for that personal representative may only charge 40% of the fees calculated as above, or a minimum fee of $1,500.</w:t>
      </w:r>
    </w:p>
    <w:p w:rsidR="00191DD0" w:rsidRPr="00FA5930" w:rsidRDefault="00191DD0" w:rsidP="003C126C">
      <w:pPr>
        <w:jc w:val="both"/>
        <w:rPr>
          <w:rFonts w:ascii="Arial" w:hAnsi="Arial" w:cs="Arial"/>
          <w:sz w:val="22"/>
          <w:szCs w:val="22"/>
        </w:rPr>
      </w:pPr>
    </w:p>
    <w:p w:rsidR="00191DD0"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sz w:val="22"/>
          <w:szCs w:val="22"/>
        </w:rPr>
        <w:t xml:space="preserve">The lawyer for the personal representative is also entitled to charge for the following additional services, as specified in </w:t>
      </w:r>
      <w:r w:rsidR="00160EF7" w:rsidRPr="00DA11D5">
        <w:rPr>
          <w:rFonts w:ascii="Arial" w:hAnsi="Arial" w:cs="Arial"/>
          <w:iCs/>
          <w:sz w:val="22"/>
          <w:szCs w:val="22"/>
        </w:rPr>
        <w:t>King’s</w:t>
      </w:r>
      <w:r w:rsidR="00191DD0" w:rsidRPr="00FA5930">
        <w:rPr>
          <w:rFonts w:ascii="Arial" w:hAnsi="Arial" w:cs="Arial"/>
          <w:sz w:val="22"/>
          <w:szCs w:val="22"/>
        </w:rPr>
        <w:t xml:space="preserve"> Bench </w:t>
      </w:r>
      <w:r w:rsidR="009D17BF">
        <w:rPr>
          <w:rFonts w:ascii="Arial" w:hAnsi="Arial" w:cs="Arial"/>
          <w:sz w:val="22"/>
          <w:szCs w:val="22"/>
        </w:rPr>
        <w:t>sub</w:t>
      </w:r>
      <w:r w:rsidR="00191DD0" w:rsidRPr="00FA5930">
        <w:rPr>
          <w:rFonts w:ascii="Arial" w:hAnsi="Arial" w:cs="Arial"/>
          <w:sz w:val="22"/>
          <w:szCs w:val="22"/>
        </w:rPr>
        <w:t>rule 74.14(9):</w:t>
      </w:r>
    </w:p>
    <w:p w:rsidR="00191DD0" w:rsidRPr="00FA5930" w:rsidRDefault="00191DD0" w:rsidP="003C126C">
      <w:p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(a</w:t>
      </w:r>
      <w:r w:rsidR="003C126C" w:rsidRPr="00FA5930">
        <w:rPr>
          <w:rFonts w:ascii="Arial" w:hAnsi="Arial" w:cs="Arial"/>
          <w:sz w:val="22"/>
          <w:szCs w:val="22"/>
        </w:rPr>
        <w:t>) </w:t>
      </w:r>
      <w:r w:rsidRPr="00FA5930">
        <w:rPr>
          <w:rFonts w:ascii="Arial" w:hAnsi="Arial" w:cs="Arial"/>
          <w:sz w:val="22"/>
          <w:szCs w:val="22"/>
        </w:rPr>
        <w:t>appearances in court, in an amount set by the court;</w:t>
      </w:r>
    </w:p>
    <w:p w:rsidR="00191DD0" w:rsidRPr="00FA5930" w:rsidRDefault="00191DD0" w:rsidP="003C126C">
      <w:p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(b</w:t>
      </w:r>
      <w:r w:rsidR="003C126C" w:rsidRPr="00FA5930">
        <w:rPr>
          <w:rFonts w:ascii="Arial" w:hAnsi="Arial" w:cs="Arial"/>
          <w:sz w:val="22"/>
          <w:szCs w:val="22"/>
        </w:rPr>
        <w:t>) </w:t>
      </w:r>
      <w:r w:rsidRPr="00FA5930">
        <w:rPr>
          <w:rFonts w:ascii="Arial" w:hAnsi="Arial" w:cs="Arial"/>
          <w:sz w:val="22"/>
          <w:szCs w:val="22"/>
        </w:rPr>
        <w:t xml:space="preserve">legal services with respect to a review by the court of the handling of estate assets by the personal representative under </w:t>
      </w:r>
      <w:r w:rsidR="00160EF7" w:rsidRPr="00F568B1">
        <w:rPr>
          <w:rFonts w:ascii="Arial" w:hAnsi="Arial" w:cs="Arial"/>
          <w:iCs/>
          <w:sz w:val="22"/>
          <w:szCs w:val="22"/>
        </w:rPr>
        <w:t>King’s</w:t>
      </w:r>
      <w:r w:rsidRPr="00FA5930">
        <w:rPr>
          <w:rFonts w:ascii="Arial" w:hAnsi="Arial" w:cs="Arial"/>
          <w:sz w:val="22"/>
          <w:szCs w:val="22"/>
        </w:rPr>
        <w:t xml:space="preserve"> Bench rule 74.12, in an amount set by the court;</w:t>
      </w:r>
    </w:p>
    <w:p w:rsidR="00191DD0" w:rsidRPr="00FA5930" w:rsidRDefault="00191DD0" w:rsidP="003C126C">
      <w:pPr>
        <w:numPr>
          <w:ilvl w:val="12"/>
          <w:numId w:val="0"/>
        </w:numPr>
        <w:ind w:left="360"/>
        <w:jc w:val="both"/>
        <w:rPr>
          <w:rFonts w:ascii="Arial" w:hAnsi="Arial" w:cs="Arial"/>
          <w:sz w:val="22"/>
          <w:szCs w:val="22"/>
        </w:rPr>
      </w:pPr>
    </w:p>
    <w:p w:rsidR="00191DD0" w:rsidRPr="00FA5930" w:rsidRDefault="005E7A65" w:rsidP="003C126C">
      <w:pPr>
        <w:numPr>
          <w:ilvl w:val="12"/>
          <w:numId w:val="0"/>
        </w:numPr>
        <w:ind w:left="360"/>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sz w:val="22"/>
          <w:szCs w:val="22"/>
        </w:rPr>
        <w:t>(c</w:t>
      </w:r>
      <w:r w:rsidR="003C126C" w:rsidRPr="00FA5930">
        <w:rPr>
          <w:rFonts w:ascii="Arial" w:hAnsi="Arial" w:cs="Arial"/>
          <w:sz w:val="22"/>
          <w:szCs w:val="22"/>
        </w:rPr>
        <w:t>) </w:t>
      </w:r>
      <w:r w:rsidR="00191DD0" w:rsidRPr="00FA5930">
        <w:rPr>
          <w:rFonts w:ascii="Arial" w:hAnsi="Arial" w:cs="Arial"/>
          <w:sz w:val="22"/>
          <w:szCs w:val="22"/>
        </w:rPr>
        <w:t>acting on the sale of an estate asset;</w:t>
      </w:r>
    </w:p>
    <w:p w:rsidR="00191DD0" w:rsidRPr="00FA5930" w:rsidRDefault="00191DD0" w:rsidP="003C126C">
      <w:pPr>
        <w:numPr>
          <w:ilvl w:val="12"/>
          <w:numId w:val="0"/>
        </w:numPr>
        <w:ind w:left="360"/>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(d</w:t>
      </w:r>
      <w:r w:rsidR="003C126C" w:rsidRPr="00FA5930">
        <w:rPr>
          <w:rFonts w:ascii="Arial" w:hAnsi="Arial" w:cs="Arial"/>
          <w:sz w:val="22"/>
          <w:szCs w:val="22"/>
        </w:rPr>
        <w:t>) </w:t>
      </w:r>
      <w:r w:rsidRPr="00FA5930">
        <w:rPr>
          <w:rFonts w:ascii="Arial" w:hAnsi="Arial" w:cs="Arial"/>
          <w:sz w:val="22"/>
          <w:szCs w:val="22"/>
        </w:rPr>
        <w:t>finding a purchaser of an estate asset;</w:t>
      </w:r>
    </w:p>
    <w:p w:rsidR="00191DD0" w:rsidRPr="00FA5930" w:rsidRDefault="00191DD0" w:rsidP="003C126C">
      <w:pPr>
        <w:numPr>
          <w:ilvl w:val="12"/>
          <w:numId w:val="0"/>
        </w:numPr>
        <w:ind w:left="360"/>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(e</w:t>
      </w:r>
      <w:r w:rsidR="003C126C" w:rsidRPr="00FA5930">
        <w:rPr>
          <w:rFonts w:ascii="Arial" w:hAnsi="Arial" w:cs="Arial"/>
          <w:sz w:val="22"/>
          <w:szCs w:val="22"/>
        </w:rPr>
        <w:t>) </w:t>
      </w:r>
      <w:r w:rsidRPr="00FA5930">
        <w:rPr>
          <w:rFonts w:ascii="Arial" w:hAnsi="Arial" w:cs="Arial"/>
          <w:sz w:val="22"/>
          <w:szCs w:val="22"/>
        </w:rPr>
        <w:t>assisting the personal representative with estate administration duties, including</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w:t>
      </w:r>
      <w:r w:rsidR="003C126C" w:rsidRPr="00FA5930">
        <w:rPr>
          <w:rFonts w:ascii="Arial" w:hAnsi="Arial" w:cs="Arial"/>
          <w:sz w:val="22"/>
          <w:szCs w:val="22"/>
        </w:rPr>
        <w:t>) </w:t>
      </w:r>
      <w:r w:rsidRPr="00FA5930">
        <w:rPr>
          <w:rFonts w:ascii="Arial" w:hAnsi="Arial" w:cs="Arial"/>
          <w:sz w:val="22"/>
          <w:szCs w:val="22"/>
        </w:rPr>
        <w:t>keeping and preparing the accounts of the personal representative,</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(ii</w:t>
      </w:r>
      <w:r w:rsidR="003C126C" w:rsidRPr="00FA5930">
        <w:rPr>
          <w:rFonts w:ascii="Arial" w:hAnsi="Arial" w:cs="Arial"/>
          <w:sz w:val="22"/>
          <w:szCs w:val="22"/>
        </w:rPr>
        <w:t>) </w:t>
      </w:r>
      <w:r w:rsidRPr="00FA5930">
        <w:rPr>
          <w:rFonts w:ascii="Arial" w:hAnsi="Arial" w:cs="Arial"/>
          <w:sz w:val="22"/>
          <w:szCs w:val="22"/>
        </w:rPr>
        <w:t>listing and valuing the assets and debts, and</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(iii</w:t>
      </w:r>
      <w:r w:rsidR="003C126C" w:rsidRPr="00FA5930">
        <w:rPr>
          <w:rFonts w:ascii="Arial" w:hAnsi="Arial" w:cs="Arial"/>
          <w:sz w:val="22"/>
          <w:szCs w:val="22"/>
        </w:rPr>
        <w:t>) </w:t>
      </w:r>
      <w:r w:rsidRPr="00FA5930">
        <w:rPr>
          <w:rFonts w:ascii="Arial" w:hAnsi="Arial" w:cs="Arial"/>
          <w:sz w:val="22"/>
          <w:szCs w:val="22"/>
        </w:rPr>
        <w:t>safekeeping, insuring and disposing of estate assets;</w:t>
      </w:r>
    </w:p>
    <w:p w:rsidR="00191DD0" w:rsidRPr="00FA5930" w:rsidRDefault="00191DD0" w:rsidP="003C126C">
      <w:pPr>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(f</w:t>
      </w:r>
      <w:r w:rsidR="003C126C" w:rsidRPr="00FA5930">
        <w:rPr>
          <w:rFonts w:ascii="Arial" w:hAnsi="Arial" w:cs="Arial"/>
          <w:sz w:val="22"/>
          <w:szCs w:val="22"/>
        </w:rPr>
        <w:t>) </w:t>
      </w:r>
      <w:r w:rsidRPr="00FA5930">
        <w:rPr>
          <w:rFonts w:ascii="Arial" w:hAnsi="Arial" w:cs="Arial"/>
          <w:sz w:val="22"/>
          <w:szCs w:val="22"/>
        </w:rPr>
        <w:t>advising the personal representative with respect to an estate of above-average complexity;</w:t>
      </w:r>
    </w:p>
    <w:p w:rsidR="00191DD0" w:rsidRPr="00FA5930" w:rsidRDefault="00191DD0" w:rsidP="003C126C">
      <w:pPr>
        <w:numPr>
          <w:ilvl w:val="12"/>
          <w:numId w:val="0"/>
        </w:numPr>
        <w:ind w:left="360"/>
        <w:jc w:val="both"/>
        <w:rPr>
          <w:rFonts w:ascii="Arial" w:hAnsi="Arial" w:cs="Arial"/>
          <w:sz w:val="22"/>
          <w:szCs w:val="22"/>
        </w:rPr>
      </w:pPr>
    </w:p>
    <w:p w:rsidR="00191DD0" w:rsidRPr="00FA5930" w:rsidRDefault="00191DD0" w:rsidP="003C126C">
      <w:pPr>
        <w:numPr>
          <w:ilvl w:val="12"/>
          <w:numId w:val="0"/>
        </w:numPr>
        <w:ind w:left="360"/>
        <w:jc w:val="both"/>
        <w:rPr>
          <w:rFonts w:ascii="Arial" w:hAnsi="Arial" w:cs="Arial"/>
          <w:sz w:val="22"/>
          <w:szCs w:val="22"/>
        </w:rPr>
      </w:pPr>
      <w:r w:rsidRPr="00FA5930">
        <w:rPr>
          <w:rFonts w:ascii="Arial" w:hAnsi="Arial" w:cs="Arial"/>
          <w:sz w:val="22"/>
          <w:szCs w:val="22"/>
        </w:rPr>
        <w:t>(g</w:t>
      </w:r>
      <w:r w:rsidR="003C126C" w:rsidRPr="00FA5930">
        <w:rPr>
          <w:rFonts w:ascii="Arial" w:hAnsi="Arial" w:cs="Arial"/>
          <w:sz w:val="22"/>
          <w:szCs w:val="22"/>
        </w:rPr>
        <w:t>) </w:t>
      </w:r>
      <w:r w:rsidRPr="00FA5930">
        <w:rPr>
          <w:rFonts w:ascii="Arial" w:hAnsi="Arial" w:cs="Arial"/>
          <w:sz w:val="22"/>
          <w:szCs w:val="22"/>
        </w:rPr>
        <w:t>advising and assisting the personal representative as to ongoing trust matters, including</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w:t>
      </w:r>
      <w:r w:rsidR="003C126C" w:rsidRPr="00FA5930">
        <w:rPr>
          <w:rFonts w:ascii="Arial" w:hAnsi="Arial" w:cs="Arial"/>
          <w:sz w:val="22"/>
          <w:szCs w:val="22"/>
        </w:rPr>
        <w:t>) </w:t>
      </w:r>
      <w:r w:rsidRPr="00FA5930">
        <w:rPr>
          <w:rFonts w:ascii="Arial" w:hAnsi="Arial" w:cs="Arial"/>
          <w:sz w:val="22"/>
          <w:szCs w:val="22"/>
        </w:rPr>
        <w:t>the personal representative's duties,</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(ii</w:t>
      </w:r>
      <w:r w:rsidR="003C126C" w:rsidRPr="00FA5930">
        <w:rPr>
          <w:rFonts w:ascii="Arial" w:hAnsi="Arial" w:cs="Arial"/>
          <w:sz w:val="22"/>
          <w:szCs w:val="22"/>
        </w:rPr>
        <w:t>) </w:t>
      </w:r>
      <w:r w:rsidRPr="00FA5930">
        <w:rPr>
          <w:rFonts w:ascii="Arial" w:hAnsi="Arial" w:cs="Arial"/>
          <w:sz w:val="22"/>
          <w:szCs w:val="22"/>
        </w:rPr>
        <w:t>the personal representative's powers of sale, investment and encroachment, and</w:t>
      </w:r>
    </w:p>
    <w:p w:rsidR="00191DD0" w:rsidRPr="00FA5930" w:rsidRDefault="00191DD0" w:rsidP="003C126C">
      <w:pPr>
        <w:jc w:val="both"/>
        <w:rPr>
          <w:rFonts w:ascii="Arial" w:hAnsi="Arial" w:cs="Arial"/>
          <w:sz w:val="22"/>
          <w:szCs w:val="22"/>
        </w:rPr>
      </w:pPr>
    </w:p>
    <w:p w:rsidR="00191DD0" w:rsidRPr="00FA5930" w:rsidRDefault="00191DD0" w:rsidP="003C126C">
      <w:pPr>
        <w:ind w:left="720"/>
        <w:jc w:val="both"/>
        <w:rPr>
          <w:rFonts w:ascii="Arial" w:hAnsi="Arial" w:cs="Arial"/>
          <w:sz w:val="22"/>
          <w:szCs w:val="22"/>
        </w:rPr>
      </w:pPr>
      <w:r w:rsidRPr="00FA5930">
        <w:rPr>
          <w:rFonts w:ascii="Arial" w:hAnsi="Arial" w:cs="Arial"/>
          <w:sz w:val="22"/>
          <w:szCs w:val="22"/>
        </w:rPr>
        <w:t>(iii</w:t>
      </w:r>
      <w:r w:rsidR="003C126C" w:rsidRPr="00FA5930">
        <w:rPr>
          <w:rFonts w:ascii="Arial" w:hAnsi="Arial" w:cs="Arial"/>
          <w:sz w:val="22"/>
          <w:szCs w:val="22"/>
        </w:rPr>
        <w:t>) </w:t>
      </w:r>
      <w:r w:rsidRPr="00FA5930">
        <w:rPr>
          <w:rFonts w:ascii="Arial" w:hAnsi="Arial" w:cs="Arial"/>
          <w:sz w:val="22"/>
          <w:szCs w:val="22"/>
        </w:rPr>
        <w:t>the allocation of assets as capital or revenue.</w:t>
      </w:r>
    </w:p>
    <w:p w:rsidR="00191DD0" w:rsidRPr="00FA5930" w:rsidRDefault="00191DD0" w:rsidP="003C126C">
      <w:pPr>
        <w:jc w:val="both"/>
        <w:rPr>
          <w:rFonts w:ascii="Arial" w:hAnsi="Arial" w:cs="Arial"/>
          <w:sz w:val="22"/>
          <w:szCs w:val="22"/>
        </w:rPr>
      </w:pPr>
    </w:p>
    <w:p w:rsidR="00191DD0"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p>
    <w:p w:rsidR="007D3D45" w:rsidRPr="00FA5930" w:rsidRDefault="007D3D45">
      <w:pPr>
        <w:autoSpaceDE/>
        <w:autoSpaceDN/>
        <w:adjustRightInd/>
        <w:spacing w:after="200" w:line="276" w:lineRule="auto"/>
        <w:rPr>
          <w:rFonts w:ascii="Arial" w:hAnsi="Arial" w:cs="Arial"/>
          <w:b/>
          <w:bCs/>
          <w:i/>
          <w:iCs/>
          <w:sz w:val="22"/>
          <w:szCs w:val="22"/>
        </w:rPr>
      </w:pPr>
      <w:r w:rsidRPr="00FA5930">
        <w:rPr>
          <w:rFonts w:ascii="Arial" w:hAnsi="Arial" w:cs="Arial"/>
          <w:b/>
          <w:bCs/>
          <w:i/>
          <w:iCs/>
          <w:sz w:val="22"/>
          <w:szCs w:val="22"/>
        </w:rPr>
        <w:br w:type="page"/>
      </w:r>
    </w:p>
    <w:p w:rsidR="00191DD0" w:rsidRPr="00FA5930" w:rsidRDefault="00191DD0" w:rsidP="003C126C">
      <w:pPr>
        <w:jc w:val="both"/>
        <w:rPr>
          <w:rFonts w:ascii="Arial" w:hAnsi="Arial" w:cs="Arial"/>
          <w:b/>
          <w:bCs/>
          <w:sz w:val="22"/>
          <w:szCs w:val="22"/>
        </w:rPr>
      </w:pPr>
      <w:r w:rsidRPr="00FA5930">
        <w:rPr>
          <w:rFonts w:ascii="Arial" w:hAnsi="Arial" w:cs="Arial"/>
          <w:b/>
          <w:bCs/>
          <w:i/>
          <w:iCs/>
          <w:sz w:val="22"/>
          <w:szCs w:val="22"/>
        </w:rPr>
        <w:lastRenderedPageBreak/>
        <w:t>Adult Beneficiaries May Consent to the Lawyer's Interim Fees or Final Fees</w:t>
      </w:r>
    </w:p>
    <w:p w:rsidR="00191DD0" w:rsidRPr="00FA5930" w:rsidRDefault="00191DD0" w:rsidP="003C126C">
      <w:pPr>
        <w:jc w:val="both"/>
        <w:rPr>
          <w:rFonts w:ascii="Arial" w:hAnsi="Arial" w:cs="Arial"/>
          <w:b/>
          <w:bCs/>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The lawyer for the personal representative is permitted to be paid interim fees and disbursements for services completed to date or final fees and disbursements on completion of an estate, without court approval, if</w:t>
      </w:r>
    </w:p>
    <w:p w:rsidR="00191DD0" w:rsidRPr="00FA5930" w:rsidRDefault="00191DD0" w:rsidP="003C126C">
      <w:pPr>
        <w:jc w:val="both"/>
        <w:rPr>
          <w:rFonts w:ascii="Arial" w:hAnsi="Arial" w:cs="Arial"/>
          <w:sz w:val="22"/>
          <w:szCs w:val="22"/>
        </w:rPr>
      </w:pPr>
    </w:p>
    <w:p w:rsidR="00191DD0" w:rsidRPr="00FA5930" w:rsidRDefault="00191DD0" w:rsidP="003C126C">
      <w:pPr>
        <w:pStyle w:val="Level1"/>
        <w:numPr>
          <w:ilvl w:val="0"/>
          <w:numId w:val="5"/>
        </w:numPr>
        <w:ind w:left="810" w:hanging="450"/>
        <w:jc w:val="both"/>
        <w:rPr>
          <w:rFonts w:ascii="Arial" w:hAnsi="Arial" w:cs="Arial"/>
          <w:sz w:val="22"/>
          <w:szCs w:val="22"/>
        </w:rPr>
      </w:pPr>
      <w:r w:rsidRPr="00FA5930">
        <w:rPr>
          <w:rFonts w:ascii="Arial" w:hAnsi="Arial" w:cs="Arial"/>
          <w:sz w:val="22"/>
          <w:szCs w:val="22"/>
        </w:rPr>
        <w:t>all beneficiaries whose interests in the estate may be affected by the lawyer's fees or disbursements are adults and they consent, in writing, to the fees and disbursements requested by the lawyer;</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pStyle w:val="Level1"/>
        <w:numPr>
          <w:ilvl w:val="0"/>
          <w:numId w:val="5"/>
        </w:numPr>
        <w:ind w:left="810" w:hanging="450"/>
        <w:jc w:val="both"/>
        <w:rPr>
          <w:rFonts w:ascii="Arial" w:hAnsi="Arial" w:cs="Arial"/>
          <w:sz w:val="22"/>
          <w:szCs w:val="22"/>
        </w:rPr>
      </w:pPr>
      <w:r w:rsidRPr="00FA5930">
        <w:rPr>
          <w:rFonts w:ascii="Arial" w:hAnsi="Arial" w:cs="Arial"/>
          <w:sz w:val="22"/>
          <w:szCs w:val="22"/>
        </w:rPr>
        <w:t xml:space="preserve">all beneficiaries are served with a copy of this form (Information for Personal Representatives and Beneficiaries) and are given an itemized statement setting out the lawyer's fees and disbursements, with the fees and disbursements for </w:t>
      </w:r>
      <w:r w:rsidR="002060A0" w:rsidRPr="00FA5930">
        <w:rPr>
          <w:rFonts w:ascii="Arial" w:hAnsi="Arial" w:cs="Arial"/>
          <w:sz w:val="22"/>
          <w:szCs w:val="22"/>
        </w:rPr>
        <w:t>basic estate</w:t>
      </w:r>
      <w:r w:rsidRPr="00FA5930">
        <w:rPr>
          <w:rFonts w:ascii="Arial" w:hAnsi="Arial" w:cs="Arial"/>
          <w:sz w:val="22"/>
          <w:szCs w:val="22"/>
        </w:rPr>
        <w:t xml:space="preserve"> services under </w:t>
      </w:r>
      <w:r w:rsidR="009D17BF">
        <w:rPr>
          <w:rFonts w:ascii="Arial" w:hAnsi="Arial" w:cs="Arial"/>
          <w:sz w:val="22"/>
          <w:szCs w:val="22"/>
        </w:rPr>
        <w:t>sub</w:t>
      </w:r>
      <w:r w:rsidRPr="00FA5930">
        <w:rPr>
          <w:rFonts w:ascii="Arial" w:hAnsi="Arial" w:cs="Arial"/>
          <w:sz w:val="22"/>
          <w:szCs w:val="22"/>
        </w:rPr>
        <w:t xml:space="preserve">rule 74.14(8) set out separately from those for additional services under </w:t>
      </w:r>
      <w:r w:rsidR="009D17BF">
        <w:rPr>
          <w:rFonts w:ascii="Arial" w:hAnsi="Arial" w:cs="Arial"/>
          <w:sz w:val="22"/>
          <w:szCs w:val="22"/>
        </w:rPr>
        <w:t>sub</w:t>
      </w:r>
      <w:r w:rsidRPr="00FA5930">
        <w:rPr>
          <w:rFonts w:ascii="Arial" w:hAnsi="Arial" w:cs="Arial"/>
          <w:sz w:val="22"/>
          <w:szCs w:val="22"/>
        </w:rPr>
        <w:t>rule 74.14(9), if any; and</w:t>
      </w:r>
    </w:p>
    <w:p w:rsidR="00191DD0" w:rsidRPr="00FA5930" w:rsidRDefault="00191DD0" w:rsidP="003C126C">
      <w:pPr>
        <w:numPr>
          <w:ilvl w:val="12"/>
          <w:numId w:val="0"/>
        </w:numPr>
        <w:jc w:val="both"/>
        <w:rPr>
          <w:rFonts w:ascii="Arial" w:hAnsi="Arial" w:cs="Arial"/>
          <w:sz w:val="22"/>
          <w:szCs w:val="22"/>
        </w:rPr>
      </w:pPr>
    </w:p>
    <w:p w:rsidR="00191DD0" w:rsidRPr="00FA5930" w:rsidRDefault="00191DD0" w:rsidP="003C126C">
      <w:pPr>
        <w:pStyle w:val="Level1"/>
        <w:numPr>
          <w:ilvl w:val="0"/>
          <w:numId w:val="5"/>
        </w:numPr>
        <w:ind w:left="810" w:hanging="450"/>
        <w:jc w:val="both"/>
        <w:rPr>
          <w:rFonts w:ascii="Arial" w:hAnsi="Arial" w:cs="Arial"/>
          <w:sz w:val="22"/>
          <w:szCs w:val="22"/>
        </w:rPr>
      </w:pPr>
      <w:r w:rsidRPr="00FA5930">
        <w:rPr>
          <w:rFonts w:ascii="Arial" w:hAnsi="Arial" w:cs="Arial"/>
          <w:sz w:val="22"/>
          <w:szCs w:val="22"/>
        </w:rPr>
        <w:t>the personal representative consents, in writing, to the requested fees and disbursements.</w:t>
      </w:r>
    </w:p>
    <w:p w:rsidR="00191DD0" w:rsidRPr="00FA5930" w:rsidRDefault="00191DD0" w:rsidP="003C126C">
      <w:pPr>
        <w:numPr>
          <w:ilvl w:val="12"/>
          <w:numId w:val="0"/>
        </w:numPr>
        <w:jc w:val="both"/>
        <w:rPr>
          <w:rFonts w:ascii="Arial" w:hAnsi="Arial" w:cs="Arial"/>
          <w:sz w:val="22"/>
          <w:szCs w:val="22"/>
        </w:rPr>
      </w:pPr>
    </w:p>
    <w:p w:rsidR="00191DD0" w:rsidRPr="00FA5930" w:rsidRDefault="005E7A65" w:rsidP="003C126C">
      <w:pPr>
        <w:jc w:val="both"/>
        <w:rPr>
          <w:rFonts w:ascii="Arial" w:hAnsi="Arial" w:cs="Arial"/>
          <w:sz w:val="22"/>
          <w:szCs w:val="22"/>
        </w:rPr>
      </w:pPr>
      <w:r w:rsidRPr="00FA5930">
        <w:rPr>
          <w:rFonts w:ascii="Arial" w:hAnsi="Arial" w:cs="Arial"/>
          <w:sz w:val="22"/>
          <w:szCs w:val="22"/>
        </w:rPr>
        <w:fldChar w:fldCharType="begin"/>
      </w:r>
      <w:r w:rsidR="00191DD0" w:rsidRPr="00FA5930">
        <w:rPr>
          <w:rFonts w:ascii="Arial" w:hAnsi="Arial" w:cs="Arial"/>
          <w:sz w:val="22"/>
          <w:szCs w:val="22"/>
        </w:rPr>
        <w:instrText xml:space="preserve"> SEQ CHAPTER \h \r 1</w:instrText>
      </w:r>
      <w:r w:rsidRPr="00FA5930">
        <w:rPr>
          <w:rFonts w:ascii="Arial" w:hAnsi="Arial" w:cs="Arial"/>
          <w:sz w:val="22"/>
          <w:szCs w:val="22"/>
        </w:rPr>
        <w:fldChar w:fldCharType="end"/>
      </w:r>
      <w:r w:rsidR="00191DD0" w:rsidRPr="00FA5930">
        <w:rPr>
          <w:rFonts w:ascii="Arial" w:hAnsi="Arial" w:cs="Arial"/>
          <w:b/>
          <w:bCs/>
          <w:i/>
          <w:iCs/>
          <w:sz w:val="22"/>
          <w:szCs w:val="22"/>
        </w:rPr>
        <w:t>Collecting interim fees that are within the basic allowable amount</w:t>
      </w:r>
    </w:p>
    <w:p w:rsidR="00191DD0" w:rsidRPr="00FA5930" w:rsidRDefault="00191DD0" w:rsidP="003C126C">
      <w:pPr>
        <w:jc w:val="both"/>
        <w:rPr>
          <w:rFonts w:ascii="Arial" w:hAnsi="Arial" w:cs="Arial"/>
          <w:sz w:val="22"/>
          <w:szCs w:val="22"/>
          <w:u w:val="double"/>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 xml:space="preserve">The lawyer for the personal representative is permitted to be paid interim fees </w:t>
      </w:r>
      <w:r w:rsidR="002060A0" w:rsidRPr="00FA5930">
        <w:rPr>
          <w:rFonts w:ascii="Arial" w:hAnsi="Arial" w:cs="Arial"/>
          <w:sz w:val="22"/>
          <w:szCs w:val="22"/>
        </w:rPr>
        <w:t xml:space="preserve">for basic estate services under </w:t>
      </w:r>
      <w:r w:rsidR="009D17BF">
        <w:rPr>
          <w:rFonts w:ascii="Arial" w:hAnsi="Arial" w:cs="Arial"/>
          <w:sz w:val="22"/>
          <w:szCs w:val="22"/>
        </w:rPr>
        <w:t>sub</w:t>
      </w:r>
      <w:r w:rsidR="002060A0" w:rsidRPr="00FA5930">
        <w:rPr>
          <w:rFonts w:ascii="Arial" w:hAnsi="Arial" w:cs="Arial"/>
          <w:sz w:val="22"/>
          <w:szCs w:val="22"/>
        </w:rPr>
        <w:t>rule 74.1</w:t>
      </w:r>
      <w:r w:rsidR="00340EFC" w:rsidRPr="00FA5930">
        <w:rPr>
          <w:rFonts w:ascii="Arial" w:hAnsi="Arial" w:cs="Arial"/>
          <w:sz w:val="22"/>
          <w:szCs w:val="22"/>
        </w:rPr>
        <w:t>4</w:t>
      </w:r>
      <w:r w:rsidR="002060A0" w:rsidRPr="00FA5930">
        <w:rPr>
          <w:rFonts w:ascii="Arial" w:hAnsi="Arial" w:cs="Arial"/>
          <w:sz w:val="22"/>
          <w:szCs w:val="22"/>
        </w:rPr>
        <w:t xml:space="preserve">(8) </w:t>
      </w:r>
      <w:r w:rsidRPr="00FA5930">
        <w:rPr>
          <w:rFonts w:ascii="Arial" w:hAnsi="Arial" w:cs="Arial"/>
          <w:sz w:val="22"/>
          <w:szCs w:val="22"/>
        </w:rPr>
        <w:t>if they are within the allowable amounts under rule 74.14(6) or (7), as well as disbursements, with the consent of the personal representative, if all beneficiaries whose interests in the estate may be affected by the lawyer's fees or disbursements have been served with a copy of Information for Personal Representatives and Beneficiaries (</w:t>
      </w:r>
      <w:r w:rsidR="00812CAF">
        <w:rPr>
          <w:rFonts w:ascii="Arial" w:hAnsi="Arial" w:cs="Arial"/>
          <w:sz w:val="22"/>
          <w:szCs w:val="22"/>
        </w:rPr>
        <w:t>Form 74EE</w:t>
      </w:r>
      <w:r w:rsidRPr="00FA5930">
        <w:rPr>
          <w:rFonts w:ascii="Arial" w:hAnsi="Arial" w:cs="Arial"/>
          <w:sz w:val="22"/>
          <w:szCs w:val="22"/>
        </w:rPr>
        <w:t xml:space="preserve">) and given an itemized statement setting out the lawyer's fees and disbursements, with the fees and disbursements for </w:t>
      </w:r>
      <w:r w:rsidR="002060A0" w:rsidRPr="00FA5930">
        <w:rPr>
          <w:rFonts w:ascii="Arial" w:hAnsi="Arial" w:cs="Arial"/>
          <w:sz w:val="22"/>
          <w:szCs w:val="22"/>
        </w:rPr>
        <w:t xml:space="preserve">basic estate services </w:t>
      </w:r>
      <w:r w:rsidRPr="00FA5930">
        <w:rPr>
          <w:rFonts w:ascii="Arial" w:hAnsi="Arial" w:cs="Arial"/>
          <w:sz w:val="22"/>
          <w:szCs w:val="22"/>
        </w:rPr>
        <w:t xml:space="preserve">under </w:t>
      </w:r>
      <w:r w:rsidR="009D17BF">
        <w:rPr>
          <w:rFonts w:ascii="Arial" w:hAnsi="Arial" w:cs="Arial"/>
          <w:sz w:val="22"/>
          <w:szCs w:val="22"/>
        </w:rPr>
        <w:t>sub</w:t>
      </w:r>
      <w:r w:rsidRPr="00FA5930">
        <w:rPr>
          <w:rFonts w:ascii="Arial" w:hAnsi="Arial" w:cs="Arial"/>
          <w:sz w:val="22"/>
          <w:szCs w:val="22"/>
        </w:rPr>
        <w:t xml:space="preserve">rule 74.14(8) set out separately from those for additional services under </w:t>
      </w:r>
      <w:r w:rsidR="009D17BF">
        <w:rPr>
          <w:rFonts w:ascii="Arial" w:hAnsi="Arial" w:cs="Arial"/>
          <w:sz w:val="22"/>
          <w:szCs w:val="22"/>
        </w:rPr>
        <w:t>sub</w:t>
      </w:r>
      <w:r w:rsidRPr="00FA5930">
        <w:rPr>
          <w:rFonts w:ascii="Arial" w:hAnsi="Arial" w:cs="Arial"/>
          <w:sz w:val="22"/>
          <w:szCs w:val="22"/>
        </w:rPr>
        <w:t>rule 74.14(9), if any.</w:t>
      </w: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sz w:val="22"/>
          <w:szCs w:val="22"/>
        </w:rPr>
        <w:t xml:space="preserve">If any beneficiary is a minor or mentally incompetent, the documents must be served in accordance with </w:t>
      </w:r>
      <w:r w:rsidR="00160EF7" w:rsidRPr="00F568B1">
        <w:rPr>
          <w:rFonts w:ascii="Arial" w:hAnsi="Arial" w:cs="Arial"/>
          <w:iCs/>
          <w:sz w:val="22"/>
          <w:szCs w:val="22"/>
        </w:rPr>
        <w:t>King’s</w:t>
      </w:r>
      <w:r w:rsidRPr="00FA5930">
        <w:rPr>
          <w:rFonts w:ascii="Arial" w:hAnsi="Arial" w:cs="Arial"/>
          <w:sz w:val="22"/>
          <w:szCs w:val="22"/>
        </w:rPr>
        <w:t xml:space="preserve"> Bench </w:t>
      </w:r>
      <w:r w:rsidR="009D17BF">
        <w:rPr>
          <w:rFonts w:ascii="Arial" w:hAnsi="Arial" w:cs="Arial"/>
          <w:sz w:val="22"/>
          <w:szCs w:val="22"/>
        </w:rPr>
        <w:t>sub</w:t>
      </w:r>
      <w:r w:rsidRPr="00FA5930">
        <w:rPr>
          <w:rFonts w:ascii="Arial" w:hAnsi="Arial" w:cs="Arial"/>
          <w:sz w:val="22"/>
          <w:szCs w:val="22"/>
        </w:rPr>
        <w:t>rule 74.14(11.1).</w:t>
      </w: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p>
    <w:p w:rsidR="00191DD0" w:rsidRPr="00FA5930" w:rsidRDefault="00191DD0" w:rsidP="003C126C">
      <w:pPr>
        <w:jc w:val="both"/>
        <w:rPr>
          <w:rFonts w:ascii="Arial" w:hAnsi="Arial" w:cs="Arial"/>
          <w:sz w:val="22"/>
          <w:szCs w:val="22"/>
        </w:rPr>
      </w:pPr>
      <w:r w:rsidRPr="00FA5930">
        <w:rPr>
          <w:rFonts w:ascii="Arial" w:hAnsi="Arial" w:cs="Arial"/>
          <w:b/>
          <w:bCs/>
          <w:sz w:val="22"/>
          <w:szCs w:val="22"/>
        </w:rPr>
        <w:t>3</w:t>
      </w:r>
      <w:r w:rsidR="003C126C" w:rsidRPr="00FA5930">
        <w:rPr>
          <w:rFonts w:ascii="Arial" w:hAnsi="Arial" w:cs="Arial"/>
          <w:b/>
          <w:bCs/>
          <w:sz w:val="22"/>
          <w:szCs w:val="22"/>
        </w:rPr>
        <w:tab/>
      </w:r>
      <w:r w:rsidRPr="00FA5930">
        <w:rPr>
          <w:rFonts w:ascii="Arial" w:hAnsi="Arial" w:cs="Arial"/>
          <w:b/>
          <w:bCs/>
          <w:sz w:val="22"/>
          <w:szCs w:val="22"/>
        </w:rPr>
        <w:t>Court Review of the Lawyer's Fees and Disbursements</w:t>
      </w:r>
    </w:p>
    <w:p w:rsidR="00191DD0" w:rsidRPr="00FA5930" w:rsidRDefault="00191DD0" w:rsidP="003C126C">
      <w:pPr>
        <w:jc w:val="both"/>
        <w:rPr>
          <w:rFonts w:ascii="Arial" w:hAnsi="Arial" w:cs="Arial"/>
          <w:sz w:val="22"/>
          <w:szCs w:val="22"/>
        </w:rPr>
      </w:pPr>
    </w:p>
    <w:p w:rsidR="00191DD0" w:rsidRPr="00A8205E" w:rsidRDefault="00191DD0" w:rsidP="003C126C">
      <w:pPr>
        <w:jc w:val="both"/>
        <w:rPr>
          <w:rFonts w:ascii="Arial" w:hAnsi="Arial" w:cs="Arial"/>
          <w:sz w:val="22"/>
          <w:szCs w:val="22"/>
        </w:rPr>
      </w:pPr>
      <w:r w:rsidRPr="00FA5930">
        <w:rPr>
          <w:rFonts w:ascii="Arial" w:hAnsi="Arial" w:cs="Arial"/>
          <w:sz w:val="22"/>
          <w:szCs w:val="22"/>
        </w:rPr>
        <w:t>The court may review the fees and disbursements</w:t>
      </w:r>
      <w:r w:rsidR="00371D9D" w:rsidRPr="00FA5930">
        <w:rPr>
          <w:rFonts w:ascii="Arial" w:hAnsi="Arial" w:cs="Arial"/>
          <w:sz w:val="22"/>
          <w:szCs w:val="22"/>
        </w:rPr>
        <w:t xml:space="preserve"> </w:t>
      </w:r>
      <w:r w:rsidRPr="00FA5930">
        <w:rPr>
          <w:rFonts w:ascii="Arial" w:hAnsi="Arial" w:cs="Arial"/>
          <w:sz w:val="22"/>
          <w:szCs w:val="22"/>
        </w:rPr>
        <w:t xml:space="preserve">at the time the accounts of the personal representative are placed before the court to be passed (or approved) under </w:t>
      </w:r>
      <w:r w:rsidR="00160EF7" w:rsidRPr="00F568B1">
        <w:rPr>
          <w:rFonts w:ascii="Arial" w:hAnsi="Arial" w:cs="Arial"/>
          <w:iCs/>
          <w:sz w:val="22"/>
          <w:szCs w:val="22"/>
        </w:rPr>
        <w:t>King’s</w:t>
      </w:r>
      <w:r w:rsidRPr="00FA5930">
        <w:rPr>
          <w:rFonts w:ascii="Arial" w:hAnsi="Arial" w:cs="Arial"/>
          <w:sz w:val="22"/>
          <w:szCs w:val="22"/>
        </w:rPr>
        <w:t xml:space="preserve"> Bench rule 74.12. Or, they may be reviewed when an application is made to</w:t>
      </w:r>
      <w:r w:rsidR="00160EF7">
        <w:rPr>
          <w:rFonts w:ascii="Arial" w:hAnsi="Arial" w:cs="Arial"/>
          <w:sz w:val="22"/>
          <w:szCs w:val="22"/>
        </w:rPr>
        <w:t xml:space="preserve"> court for an assessment of the </w:t>
      </w:r>
      <w:r w:rsidRPr="00FA5930">
        <w:rPr>
          <w:rFonts w:ascii="Arial" w:hAnsi="Arial" w:cs="Arial"/>
          <w:sz w:val="22"/>
          <w:szCs w:val="22"/>
        </w:rPr>
        <w:t xml:space="preserve">lawyer's fees and disbursements under </w:t>
      </w:r>
      <w:r w:rsidR="00160EF7" w:rsidRPr="00F568B1">
        <w:rPr>
          <w:rFonts w:ascii="Arial" w:hAnsi="Arial" w:cs="Arial"/>
          <w:iCs/>
          <w:sz w:val="22"/>
          <w:szCs w:val="22"/>
        </w:rPr>
        <w:t>King’s</w:t>
      </w:r>
      <w:r w:rsidRPr="00FA5930">
        <w:rPr>
          <w:rFonts w:ascii="Arial" w:hAnsi="Arial" w:cs="Arial"/>
          <w:sz w:val="22"/>
          <w:szCs w:val="22"/>
        </w:rPr>
        <w:t xml:space="preserve"> Bench </w:t>
      </w:r>
      <w:r w:rsidR="009D17BF">
        <w:rPr>
          <w:rFonts w:ascii="Arial" w:hAnsi="Arial" w:cs="Arial"/>
          <w:sz w:val="22"/>
          <w:szCs w:val="22"/>
        </w:rPr>
        <w:t>sub</w:t>
      </w:r>
      <w:r w:rsidR="00160EF7">
        <w:rPr>
          <w:rFonts w:ascii="Arial" w:hAnsi="Arial" w:cs="Arial"/>
          <w:sz w:val="22"/>
          <w:szCs w:val="22"/>
        </w:rPr>
        <w:t xml:space="preserve">rule </w:t>
      </w:r>
      <w:r w:rsidRPr="00FA5930">
        <w:rPr>
          <w:rFonts w:ascii="Arial" w:hAnsi="Arial" w:cs="Arial"/>
          <w:sz w:val="22"/>
          <w:szCs w:val="22"/>
        </w:rPr>
        <w:t>74.14(13). The personal representative, the lawyer for the personal representative or a beneficiary whose interest in the estate may be affected by the lawyer's fees and disbursements can apply to court for this assessment.</w:t>
      </w:r>
    </w:p>
    <w:p w:rsidR="00191DD0" w:rsidRPr="00A8205E" w:rsidRDefault="00191DD0" w:rsidP="003C126C">
      <w:pPr>
        <w:jc w:val="both"/>
        <w:rPr>
          <w:rFonts w:ascii="Arial" w:hAnsi="Arial" w:cs="Arial"/>
          <w:sz w:val="22"/>
          <w:szCs w:val="22"/>
        </w:rPr>
      </w:pPr>
    </w:p>
    <w:sectPr w:rsidR="00191DD0" w:rsidRPr="00A8205E" w:rsidSect="000155CA">
      <w:headerReference w:type="even" r:id="rId8"/>
      <w:headerReference w:type="default" r:id="rId9"/>
      <w:footerReference w:type="even" r:id="rId10"/>
      <w:footerReference w:type="default" r:id="rId11"/>
      <w:headerReference w:type="first" r:id="rId12"/>
      <w:footerReference w:type="first" r:id="rId13"/>
      <w:pgSz w:w="12240" w:h="15840" w:code="1"/>
      <w:pgMar w:top="1080" w:right="1152" w:bottom="864" w:left="1152" w:header="47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6C" w:rsidRDefault="003C126C" w:rsidP="000F7E98">
      <w:r>
        <w:separator/>
      </w:r>
    </w:p>
  </w:endnote>
  <w:endnote w:type="continuationSeparator" w:id="0">
    <w:p w:rsidR="003C126C" w:rsidRDefault="003C126C" w:rsidP="000F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A2" w:rsidRDefault="00AA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A2" w:rsidRDefault="00AA7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A2" w:rsidRDefault="00AA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6C" w:rsidRDefault="003C126C" w:rsidP="000F7E98">
      <w:r>
        <w:separator/>
      </w:r>
    </w:p>
  </w:footnote>
  <w:footnote w:type="continuationSeparator" w:id="0">
    <w:p w:rsidR="003C126C" w:rsidRDefault="003C126C" w:rsidP="000F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A2" w:rsidRDefault="00AA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6C" w:rsidRPr="00C534D5" w:rsidRDefault="003C126C" w:rsidP="000F7E98">
    <w:pPr>
      <w:pStyle w:val="Header"/>
      <w:tabs>
        <w:tab w:val="clear" w:pos="9360"/>
        <w:tab w:val="left" w:pos="6840"/>
        <w:tab w:val="right" w:pos="9960"/>
      </w:tabs>
      <w:rPr>
        <w:rFonts w:ascii="Arial" w:hAnsi="Arial" w:cs="Arial"/>
      </w:rPr>
    </w:pPr>
    <w:r w:rsidRPr="00C534D5">
      <w:rPr>
        <w:rFonts w:ascii="Arial" w:hAnsi="Arial" w:cs="Arial"/>
        <w:sz w:val="16"/>
        <w:szCs w:val="16"/>
      </w:rPr>
      <w:t>Form 7</w:t>
    </w:r>
    <w:r w:rsidR="00AA7AA2">
      <w:rPr>
        <w:rFonts w:ascii="Arial" w:hAnsi="Arial" w:cs="Arial"/>
        <w:sz w:val="16"/>
        <w:szCs w:val="16"/>
      </w:rPr>
      <w:t>4EE</w:t>
    </w:r>
    <w:r w:rsidRPr="00C534D5">
      <w:rPr>
        <w:rFonts w:ascii="Arial" w:hAnsi="Arial" w:cs="Arial"/>
        <w:sz w:val="16"/>
        <w:szCs w:val="16"/>
      </w:rPr>
      <w:t xml:space="preserve"> – page </w:t>
    </w:r>
    <w:r w:rsidR="005E7A65" w:rsidRPr="00C534D5">
      <w:rPr>
        <w:rFonts w:ascii="Arial" w:hAnsi="Arial" w:cs="Arial"/>
        <w:sz w:val="16"/>
        <w:szCs w:val="16"/>
      </w:rPr>
      <w:fldChar w:fldCharType="begin"/>
    </w:r>
    <w:r w:rsidRPr="00C534D5">
      <w:rPr>
        <w:rFonts w:ascii="Arial" w:hAnsi="Arial" w:cs="Arial"/>
        <w:sz w:val="16"/>
        <w:szCs w:val="16"/>
      </w:rPr>
      <w:instrText xml:space="preserve"> PAGE   \* MERGEFORMAT </w:instrText>
    </w:r>
    <w:r w:rsidR="005E7A65" w:rsidRPr="00C534D5">
      <w:rPr>
        <w:rFonts w:ascii="Arial" w:hAnsi="Arial" w:cs="Arial"/>
        <w:sz w:val="16"/>
        <w:szCs w:val="16"/>
      </w:rPr>
      <w:fldChar w:fldCharType="separate"/>
    </w:r>
    <w:r w:rsidR="00E94E0B">
      <w:rPr>
        <w:rFonts w:ascii="Arial" w:hAnsi="Arial" w:cs="Arial"/>
        <w:noProof/>
        <w:sz w:val="16"/>
        <w:szCs w:val="16"/>
      </w:rPr>
      <w:t>1</w:t>
    </w:r>
    <w:r w:rsidR="005E7A65" w:rsidRPr="00C534D5">
      <w:rPr>
        <w:rFonts w:ascii="Arial" w:hAnsi="Arial" w:cs="Arial"/>
        <w:sz w:val="16"/>
        <w:szCs w:val="16"/>
      </w:rPr>
      <w:fldChar w:fldCharType="end"/>
    </w:r>
    <w:sdt>
      <w:sdtPr>
        <w:rPr>
          <w:rFonts w:ascii="Arial" w:hAnsi="Arial" w:cs="Arial"/>
          <w:sz w:val="16"/>
          <w:szCs w:val="16"/>
        </w:rPr>
        <w:id w:val="250395305"/>
        <w:docPartObj>
          <w:docPartGallery w:val="Page Numbers (Top of Page)"/>
          <w:docPartUnique/>
        </w:docPartObj>
      </w:sdtPr>
      <w:sdtEndPr/>
      <w:sdtContent>
        <w:r w:rsidRPr="00C534D5">
          <w:rPr>
            <w:rFonts w:ascii="Arial" w:hAnsi="Arial" w:cs="Arial"/>
            <w:sz w:val="16"/>
            <w:szCs w:val="16"/>
          </w:rPr>
          <w:t>/</w:t>
        </w:r>
        <w:r w:rsidR="005E7A65" w:rsidRPr="00C534D5">
          <w:rPr>
            <w:rFonts w:ascii="Arial" w:hAnsi="Arial" w:cs="Arial"/>
            <w:sz w:val="16"/>
            <w:szCs w:val="16"/>
          </w:rPr>
          <w:fldChar w:fldCharType="begin"/>
        </w:r>
        <w:r w:rsidRPr="00C534D5">
          <w:rPr>
            <w:rFonts w:ascii="Arial" w:hAnsi="Arial" w:cs="Arial"/>
            <w:sz w:val="16"/>
            <w:szCs w:val="16"/>
          </w:rPr>
          <w:instrText xml:space="preserve"> NUMPAGES  </w:instrText>
        </w:r>
        <w:r w:rsidR="005E7A65" w:rsidRPr="00C534D5">
          <w:rPr>
            <w:rFonts w:ascii="Arial" w:hAnsi="Arial" w:cs="Arial"/>
            <w:sz w:val="16"/>
            <w:szCs w:val="16"/>
          </w:rPr>
          <w:fldChar w:fldCharType="separate"/>
        </w:r>
        <w:r w:rsidR="00E94E0B">
          <w:rPr>
            <w:rFonts w:ascii="Arial" w:hAnsi="Arial" w:cs="Arial"/>
            <w:noProof/>
            <w:sz w:val="16"/>
            <w:szCs w:val="16"/>
          </w:rPr>
          <w:t>3</w:t>
        </w:r>
        <w:r w:rsidR="005E7A65" w:rsidRPr="00C534D5">
          <w:rPr>
            <w:rFonts w:ascii="Arial" w:hAnsi="Arial" w:cs="Arial"/>
            <w:sz w:val="16"/>
            <w:szCs w:val="16"/>
          </w:rPr>
          <w:fldChar w:fldCharType="end"/>
        </w:r>
      </w:sdtContent>
    </w:sdt>
    <w:r w:rsidRPr="00C534D5">
      <w:rPr>
        <w:rFonts w:ascii="Arial" w:hAnsi="Arial" w:cs="Arial"/>
        <w:sz w:val="18"/>
      </w:rPr>
      <w:tab/>
    </w:r>
    <w:r w:rsidRPr="00C534D5">
      <w:rPr>
        <w:rFonts w:ascii="Arial" w:hAnsi="Arial" w:cs="Arial"/>
        <w:sz w:val="18"/>
      </w:rPr>
      <w:tab/>
    </w:r>
    <w:r w:rsidR="000E42BB">
      <w:rPr>
        <w:rFonts w:ascii="Arial" w:hAnsi="Arial" w:cs="Arial"/>
      </w:rPr>
      <w:t>File No</w:t>
    </w:r>
    <w:r w:rsidRPr="00C534D5">
      <w:rPr>
        <w:rFonts w:ascii="Arial" w:hAnsi="Arial" w:cs="Arial"/>
      </w:rPr>
      <w:t> </w:t>
    </w:r>
    <w:r w:rsidRPr="00C534D5">
      <w:rPr>
        <w:rFonts w:ascii="Arial" w:hAnsi="Arial" w:cs="Arial"/>
        <w:u w:val="single"/>
      </w:rPr>
      <w:tab/>
    </w:r>
  </w:p>
  <w:p w:rsidR="003C126C" w:rsidRPr="00C534D5" w:rsidRDefault="003C126C">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A2" w:rsidRDefault="00AA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EEAD2C"/>
    <w:lvl w:ilvl="0">
      <w:numFmt w:val="bullet"/>
      <w:lvlText w:val="*"/>
      <w:lvlJc w:val="left"/>
    </w:lvl>
  </w:abstractNum>
  <w:abstractNum w:abstractNumId="1" w15:restartNumberingAfterBreak="0">
    <w:nsid w:val="2D821602"/>
    <w:multiLevelType w:val="hybridMultilevel"/>
    <w:tmpl w:val="95F8D0D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A52EF7"/>
    <w:multiLevelType w:val="multilevel"/>
    <w:tmpl w:val="58D68720"/>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B435871"/>
    <w:multiLevelType w:val="hybridMultilevel"/>
    <w:tmpl w:val="AA96CC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525715"/>
    <w:multiLevelType w:val="hybridMultilevel"/>
    <w:tmpl w:val="ECBED4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lvlOverride w:ilvl="0">
      <w:lvl w:ilvl="0">
        <w:start w:val="1"/>
        <w:numFmt w:val="bullet"/>
        <w:lvlText w:val="•"/>
        <w:legacy w:legacy="1" w:legacySpace="0" w:legacyIndent="1"/>
        <w:lvlJc w:val="left"/>
        <w:pPr>
          <w:ind w:left="101" w:hanging="1"/>
        </w:pPr>
        <w:rPr>
          <w:rFonts w:ascii="Times New Roman" w:hAnsi="Times New Roman" w:cs="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E98"/>
    <w:rsid w:val="00007A05"/>
    <w:rsid w:val="000155CA"/>
    <w:rsid w:val="0002615D"/>
    <w:rsid w:val="00026CDE"/>
    <w:rsid w:val="00041458"/>
    <w:rsid w:val="000725D4"/>
    <w:rsid w:val="00082D42"/>
    <w:rsid w:val="000C59A6"/>
    <w:rsid w:val="000D5D1A"/>
    <w:rsid w:val="000E42BB"/>
    <w:rsid w:val="000F0144"/>
    <w:rsid w:val="000F6346"/>
    <w:rsid w:val="000F7E98"/>
    <w:rsid w:val="00113B12"/>
    <w:rsid w:val="00121443"/>
    <w:rsid w:val="001379DE"/>
    <w:rsid w:val="00140FF8"/>
    <w:rsid w:val="00154DB5"/>
    <w:rsid w:val="00160EF7"/>
    <w:rsid w:val="00162B37"/>
    <w:rsid w:val="00174F72"/>
    <w:rsid w:val="00176673"/>
    <w:rsid w:val="001878FB"/>
    <w:rsid w:val="00190C89"/>
    <w:rsid w:val="00191DD0"/>
    <w:rsid w:val="001C5272"/>
    <w:rsid w:val="001C5D8F"/>
    <w:rsid w:val="00202357"/>
    <w:rsid w:val="002060A0"/>
    <w:rsid w:val="00210188"/>
    <w:rsid w:val="00210F6D"/>
    <w:rsid w:val="00217606"/>
    <w:rsid w:val="002207D9"/>
    <w:rsid w:val="00224E32"/>
    <w:rsid w:val="00230337"/>
    <w:rsid w:val="00245ACE"/>
    <w:rsid w:val="00247577"/>
    <w:rsid w:val="002532F1"/>
    <w:rsid w:val="0025620B"/>
    <w:rsid w:val="00261F18"/>
    <w:rsid w:val="002E25AC"/>
    <w:rsid w:val="002E7C0A"/>
    <w:rsid w:val="00315476"/>
    <w:rsid w:val="0032039A"/>
    <w:rsid w:val="00340EFC"/>
    <w:rsid w:val="00352BD3"/>
    <w:rsid w:val="00371D9D"/>
    <w:rsid w:val="003779F1"/>
    <w:rsid w:val="0038153F"/>
    <w:rsid w:val="003A0D78"/>
    <w:rsid w:val="003B0C4E"/>
    <w:rsid w:val="003C028F"/>
    <w:rsid w:val="003C126C"/>
    <w:rsid w:val="003C2993"/>
    <w:rsid w:val="003C35C4"/>
    <w:rsid w:val="003C3F8B"/>
    <w:rsid w:val="003D492D"/>
    <w:rsid w:val="003E3E07"/>
    <w:rsid w:val="00402CD9"/>
    <w:rsid w:val="00446BFE"/>
    <w:rsid w:val="004506C0"/>
    <w:rsid w:val="00472E37"/>
    <w:rsid w:val="00475DC0"/>
    <w:rsid w:val="00483ED9"/>
    <w:rsid w:val="00491852"/>
    <w:rsid w:val="004C212A"/>
    <w:rsid w:val="004E2008"/>
    <w:rsid w:val="004E34B1"/>
    <w:rsid w:val="004F0512"/>
    <w:rsid w:val="005131FA"/>
    <w:rsid w:val="00525885"/>
    <w:rsid w:val="00525AE9"/>
    <w:rsid w:val="00544E57"/>
    <w:rsid w:val="005606C3"/>
    <w:rsid w:val="0056077B"/>
    <w:rsid w:val="005616EF"/>
    <w:rsid w:val="00564992"/>
    <w:rsid w:val="0056689A"/>
    <w:rsid w:val="0058024E"/>
    <w:rsid w:val="00581013"/>
    <w:rsid w:val="00585AF2"/>
    <w:rsid w:val="005A76AF"/>
    <w:rsid w:val="005B5AAA"/>
    <w:rsid w:val="005B5C35"/>
    <w:rsid w:val="005C4FB8"/>
    <w:rsid w:val="005D07B9"/>
    <w:rsid w:val="005D38E3"/>
    <w:rsid w:val="005D60C1"/>
    <w:rsid w:val="005E02A7"/>
    <w:rsid w:val="005E0986"/>
    <w:rsid w:val="005E58C3"/>
    <w:rsid w:val="005E7A65"/>
    <w:rsid w:val="005F764B"/>
    <w:rsid w:val="00611480"/>
    <w:rsid w:val="006134D8"/>
    <w:rsid w:val="00620318"/>
    <w:rsid w:val="006209D1"/>
    <w:rsid w:val="00622E70"/>
    <w:rsid w:val="006434DB"/>
    <w:rsid w:val="00646925"/>
    <w:rsid w:val="00646F8D"/>
    <w:rsid w:val="00661DCE"/>
    <w:rsid w:val="006740DA"/>
    <w:rsid w:val="006751E8"/>
    <w:rsid w:val="00684B05"/>
    <w:rsid w:val="006B4A8D"/>
    <w:rsid w:val="006D6A80"/>
    <w:rsid w:val="006E438D"/>
    <w:rsid w:val="006F3056"/>
    <w:rsid w:val="00722FEB"/>
    <w:rsid w:val="00744B3C"/>
    <w:rsid w:val="00776D8A"/>
    <w:rsid w:val="007B3F27"/>
    <w:rsid w:val="007B66D1"/>
    <w:rsid w:val="007B7F7A"/>
    <w:rsid w:val="007C1DDE"/>
    <w:rsid w:val="007D3D45"/>
    <w:rsid w:val="007D70C6"/>
    <w:rsid w:val="007E08A4"/>
    <w:rsid w:val="007E259C"/>
    <w:rsid w:val="007F186F"/>
    <w:rsid w:val="007F4F5B"/>
    <w:rsid w:val="008000CB"/>
    <w:rsid w:val="00812CAF"/>
    <w:rsid w:val="008137B0"/>
    <w:rsid w:val="00822F06"/>
    <w:rsid w:val="00827799"/>
    <w:rsid w:val="0083102F"/>
    <w:rsid w:val="00833158"/>
    <w:rsid w:val="008357B5"/>
    <w:rsid w:val="00835ABF"/>
    <w:rsid w:val="00843FA1"/>
    <w:rsid w:val="0087568E"/>
    <w:rsid w:val="00882DA1"/>
    <w:rsid w:val="00887A4A"/>
    <w:rsid w:val="008A1478"/>
    <w:rsid w:val="008C2592"/>
    <w:rsid w:val="008D20B8"/>
    <w:rsid w:val="008D20F3"/>
    <w:rsid w:val="00900012"/>
    <w:rsid w:val="00935AE2"/>
    <w:rsid w:val="00942488"/>
    <w:rsid w:val="00945823"/>
    <w:rsid w:val="00960CBB"/>
    <w:rsid w:val="00973518"/>
    <w:rsid w:val="009803A4"/>
    <w:rsid w:val="009811F0"/>
    <w:rsid w:val="009A3025"/>
    <w:rsid w:val="009D17BF"/>
    <w:rsid w:val="00A148BF"/>
    <w:rsid w:val="00A55D6E"/>
    <w:rsid w:val="00A55ED5"/>
    <w:rsid w:val="00A60E20"/>
    <w:rsid w:val="00A6656C"/>
    <w:rsid w:val="00A668C9"/>
    <w:rsid w:val="00A66BD5"/>
    <w:rsid w:val="00A751EB"/>
    <w:rsid w:val="00A75EDF"/>
    <w:rsid w:val="00A8205E"/>
    <w:rsid w:val="00A90A36"/>
    <w:rsid w:val="00A94174"/>
    <w:rsid w:val="00AA7872"/>
    <w:rsid w:val="00AA7AA2"/>
    <w:rsid w:val="00AB0984"/>
    <w:rsid w:val="00AB5690"/>
    <w:rsid w:val="00AC1A58"/>
    <w:rsid w:val="00AD3809"/>
    <w:rsid w:val="00B35A20"/>
    <w:rsid w:val="00B36EAB"/>
    <w:rsid w:val="00B479C7"/>
    <w:rsid w:val="00B533A7"/>
    <w:rsid w:val="00B74E1A"/>
    <w:rsid w:val="00B80E07"/>
    <w:rsid w:val="00B8128E"/>
    <w:rsid w:val="00BC4EA4"/>
    <w:rsid w:val="00BE6C01"/>
    <w:rsid w:val="00C41BE0"/>
    <w:rsid w:val="00C534D5"/>
    <w:rsid w:val="00CA5FAF"/>
    <w:rsid w:val="00CC3A52"/>
    <w:rsid w:val="00CD4B35"/>
    <w:rsid w:val="00CE2AE9"/>
    <w:rsid w:val="00CF0E57"/>
    <w:rsid w:val="00CF1FA4"/>
    <w:rsid w:val="00D0722C"/>
    <w:rsid w:val="00D32159"/>
    <w:rsid w:val="00D343FB"/>
    <w:rsid w:val="00D428AF"/>
    <w:rsid w:val="00D4350D"/>
    <w:rsid w:val="00D538BF"/>
    <w:rsid w:val="00D74A6B"/>
    <w:rsid w:val="00D75B49"/>
    <w:rsid w:val="00D76B45"/>
    <w:rsid w:val="00D80AD1"/>
    <w:rsid w:val="00DA11D5"/>
    <w:rsid w:val="00DA3515"/>
    <w:rsid w:val="00DA5FCA"/>
    <w:rsid w:val="00DB0008"/>
    <w:rsid w:val="00DB3CC5"/>
    <w:rsid w:val="00DB50D4"/>
    <w:rsid w:val="00DB65B3"/>
    <w:rsid w:val="00DC0B31"/>
    <w:rsid w:val="00DC0CF3"/>
    <w:rsid w:val="00DD5FA6"/>
    <w:rsid w:val="00DE51F4"/>
    <w:rsid w:val="00DF2F7F"/>
    <w:rsid w:val="00DF42D8"/>
    <w:rsid w:val="00E0047C"/>
    <w:rsid w:val="00E0131B"/>
    <w:rsid w:val="00E3220E"/>
    <w:rsid w:val="00E418AE"/>
    <w:rsid w:val="00E54766"/>
    <w:rsid w:val="00E71BF5"/>
    <w:rsid w:val="00E93B90"/>
    <w:rsid w:val="00E94E0B"/>
    <w:rsid w:val="00EA08B7"/>
    <w:rsid w:val="00EA6998"/>
    <w:rsid w:val="00ED06BE"/>
    <w:rsid w:val="00EE5993"/>
    <w:rsid w:val="00EF18B2"/>
    <w:rsid w:val="00F029F0"/>
    <w:rsid w:val="00F2028B"/>
    <w:rsid w:val="00F32737"/>
    <w:rsid w:val="00F47629"/>
    <w:rsid w:val="00F568B1"/>
    <w:rsid w:val="00F60273"/>
    <w:rsid w:val="00F61960"/>
    <w:rsid w:val="00F64767"/>
    <w:rsid w:val="00F84982"/>
    <w:rsid w:val="00FA5930"/>
    <w:rsid w:val="00FB2F38"/>
    <w:rsid w:val="00FD78AF"/>
    <w:rsid w:val="00FE3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C6D9E-E97E-4B87-AF60-D2132609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58"/>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9803A4"/>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98"/>
    <w:pPr>
      <w:tabs>
        <w:tab w:val="center" w:pos="4680"/>
        <w:tab w:val="right" w:pos="9360"/>
      </w:tabs>
    </w:pPr>
  </w:style>
  <w:style w:type="character" w:customStyle="1" w:styleId="HeaderChar">
    <w:name w:val="Header Char"/>
    <w:basedOn w:val="DefaultParagraphFont"/>
    <w:link w:val="Header"/>
    <w:uiPriority w:val="99"/>
    <w:rsid w:val="000F7E98"/>
  </w:style>
  <w:style w:type="paragraph" w:styleId="Footer">
    <w:name w:val="footer"/>
    <w:basedOn w:val="Normal"/>
    <w:link w:val="FooterChar"/>
    <w:uiPriority w:val="99"/>
    <w:unhideWhenUsed/>
    <w:rsid w:val="000F7E98"/>
    <w:pPr>
      <w:tabs>
        <w:tab w:val="center" w:pos="4680"/>
        <w:tab w:val="right" w:pos="9360"/>
      </w:tabs>
    </w:pPr>
  </w:style>
  <w:style w:type="character" w:customStyle="1" w:styleId="FooterChar">
    <w:name w:val="Footer Char"/>
    <w:basedOn w:val="DefaultParagraphFont"/>
    <w:link w:val="Footer"/>
    <w:uiPriority w:val="99"/>
    <w:rsid w:val="000F7E98"/>
  </w:style>
  <w:style w:type="paragraph" w:styleId="ListParagraph">
    <w:name w:val="List Paragraph"/>
    <w:basedOn w:val="Normal"/>
    <w:uiPriority w:val="34"/>
    <w:qFormat/>
    <w:rsid w:val="002E25AC"/>
    <w:pPr>
      <w:ind w:left="720"/>
      <w:contextualSpacing/>
    </w:pPr>
  </w:style>
  <w:style w:type="table" w:styleId="TableGrid">
    <w:name w:val="Table Grid"/>
    <w:basedOn w:val="TableNormal"/>
    <w:uiPriority w:val="59"/>
    <w:rsid w:val="003C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984"/>
    <w:rPr>
      <w:rFonts w:ascii="Tahoma" w:hAnsi="Tahoma" w:cs="Tahoma"/>
      <w:sz w:val="16"/>
      <w:szCs w:val="16"/>
    </w:rPr>
  </w:style>
  <w:style w:type="character" w:customStyle="1" w:styleId="BalloonTextChar">
    <w:name w:val="Balloon Text Char"/>
    <w:basedOn w:val="DefaultParagraphFont"/>
    <w:link w:val="BalloonText"/>
    <w:uiPriority w:val="99"/>
    <w:semiHidden/>
    <w:rsid w:val="00AB0984"/>
    <w:rPr>
      <w:rFonts w:ascii="Tahoma" w:hAnsi="Tahoma" w:cs="Tahoma"/>
      <w:sz w:val="16"/>
      <w:szCs w:val="16"/>
    </w:rPr>
  </w:style>
  <w:style w:type="character" w:customStyle="1" w:styleId="Heading1Char">
    <w:name w:val="Heading 1 Char"/>
    <w:basedOn w:val="DefaultParagraphFont"/>
    <w:link w:val="Heading1"/>
    <w:rsid w:val="009803A4"/>
    <w:rPr>
      <w:rFonts w:ascii="Times New Roman" w:eastAsia="Times New Roman" w:hAnsi="Times New Roman" w:cs="Times New Roman"/>
      <w:b/>
      <w:szCs w:val="20"/>
    </w:rPr>
  </w:style>
  <w:style w:type="paragraph" w:styleId="Title">
    <w:name w:val="Title"/>
    <w:basedOn w:val="Normal"/>
    <w:link w:val="TitleChar"/>
    <w:qFormat/>
    <w:rsid w:val="009803A4"/>
    <w:pPr>
      <w:jc w:val="center"/>
    </w:pPr>
    <w:rPr>
      <w:rFonts w:ascii="Arial" w:eastAsia="Times New Roman" w:hAnsi="Arial"/>
      <w:b/>
      <w:lang w:val="en-GB"/>
    </w:rPr>
  </w:style>
  <w:style w:type="character" w:customStyle="1" w:styleId="TitleChar">
    <w:name w:val="Title Char"/>
    <w:basedOn w:val="DefaultParagraphFont"/>
    <w:link w:val="Title"/>
    <w:rsid w:val="009803A4"/>
    <w:rPr>
      <w:rFonts w:ascii="Arial" w:eastAsia="Times New Roman" w:hAnsi="Arial" w:cs="Times New Roman"/>
      <w:b/>
      <w:szCs w:val="20"/>
      <w:lang w:val="en-GB"/>
    </w:rPr>
  </w:style>
  <w:style w:type="paragraph" w:styleId="BodyText2">
    <w:name w:val="Body Text 2"/>
    <w:basedOn w:val="Normal"/>
    <w:link w:val="BodyText2Char"/>
    <w:rsid w:val="009803A4"/>
    <w:pPr>
      <w:widowControl w:val="0"/>
      <w:tabs>
        <w:tab w:val="left" w:pos="360"/>
        <w:tab w:val="left" w:pos="4770"/>
        <w:tab w:val="right" w:pos="4860"/>
        <w:tab w:val="center" w:pos="7470"/>
        <w:tab w:val="right" w:pos="9360"/>
      </w:tabs>
      <w:jc w:val="both"/>
    </w:pPr>
    <w:rPr>
      <w:rFonts w:ascii="Arial" w:eastAsia="Times New Roman" w:hAnsi="Arial"/>
      <w:snapToGrid w:val="0"/>
      <w:lang w:val="en-GB"/>
    </w:rPr>
  </w:style>
  <w:style w:type="character" w:customStyle="1" w:styleId="BodyText2Char">
    <w:name w:val="Body Text 2 Char"/>
    <w:basedOn w:val="DefaultParagraphFont"/>
    <w:link w:val="BodyText2"/>
    <w:rsid w:val="009803A4"/>
    <w:rPr>
      <w:rFonts w:ascii="Arial" w:eastAsia="Times New Roman" w:hAnsi="Arial" w:cs="Times New Roman"/>
      <w:snapToGrid w:val="0"/>
      <w:sz w:val="20"/>
      <w:szCs w:val="20"/>
      <w:lang w:val="en-GB"/>
    </w:rPr>
  </w:style>
  <w:style w:type="paragraph" w:customStyle="1" w:styleId="Level1">
    <w:name w:val="Level 1"/>
    <w:uiPriority w:val="99"/>
    <w:rsid w:val="00191DD0"/>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B047-8847-4315-A28F-675EA902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1465</Words>
  <Characters>7697</Characters>
  <Application>Microsoft Office Word</Application>
  <DocSecurity>0</DocSecurity>
  <Lines>192</Lines>
  <Paragraphs>69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74EE: Affidavit in Support of Request for Administration with Will Annexed</dc:title>
  <dc:creator/>
  <cp:lastModifiedBy>Harms, Jake E</cp:lastModifiedBy>
  <cp:revision>32</cp:revision>
  <cp:lastPrinted>2022-09-29T21:18:00Z</cp:lastPrinted>
  <dcterms:created xsi:type="dcterms:W3CDTF">2016-11-09T21:12:00Z</dcterms:created>
  <dcterms:modified xsi:type="dcterms:W3CDTF">2022-09-29T21:18:00Z</dcterms:modified>
</cp:coreProperties>
</file>